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bereich: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4C6A9B" w:rsidP="008271F6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</w:t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Cs w:val="24"/>
                <w:lang w:eastAsia="en-US"/>
              </w:rPr>
              <w:t xml:space="preserve">                         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>Wassersprudler unter Verwendung von</w:t>
            </w:r>
          </w:p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</w:pP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sz w:val="28"/>
                <w:szCs w:val="28"/>
                <w:lang w:eastAsia="en-US"/>
              </w:rPr>
              <w:t>PET-/Kunststoffflaschen</w:t>
            </w:r>
          </w:p>
          <w:p w:rsidR="000A7B15" w:rsidRDefault="004C6A9B" w:rsidP="00B67950">
            <w:pPr>
              <w:spacing w:before="60" w:after="60"/>
            </w:pPr>
            <w:r w:rsidRPr="004C6A9B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 xml:space="preserve">                                  </w:t>
            </w:r>
            <w:r w:rsidRPr="004C6A9B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SodaStream Cool &amp; EasyTM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4C6A9B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85513</wp:posOffset>
                  </wp:positionH>
                  <wp:positionV relativeFrom="paragraph">
                    <wp:posOffset>841587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A9B"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39159</wp:posOffset>
                  </wp:positionH>
                  <wp:positionV relativeFrom="paragraph">
                    <wp:posOffset>635</wp:posOffset>
                  </wp:positionV>
                  <wp:extent cx="679181" cy="592666"/>
                  <wp:effectExtent l="0" t="0" r="698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81" cy="59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Verletzungsgefahr durch unter Druck stehenden Behälter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Verletzungsgefahr durch kalten CO²-Behälter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Verletzungsgefahr durch beschädigte oder ungeeignete (Sprudler-)Flasche(n)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Temperaturen von unter 1°C oder über 50 °C schädigen das Material der PET-Sprudlerflaschen;</w:t>
            </w:r>
            <w:r>
              <w:rPr>
                <w:sz w:val="20"/>
              </w:rPr>
              <w:t xml:space="preserve"> </w:t>
            </w:r>
            <w:r w:rsidRPr="004C6A9B">
              <w:rPr>
                <w:sz w:val="20"/>
              </w:rPr>
              <w:t>Flaschen dürfen nicht mehr verwendet werden, wenn sie diesen Temperaturen ausgesetzt waren.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Bei Temperaturen von über 50°C und/oder bei direkter Sonneneinstrahlung kann der Kohlensäure-Zylinder explodieren.</w:t>
            </w:r>
          </w:p>
          <w:p w:rsidR="00D079E7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Erstickungsgefahr! Aus einem beschädigten Kohlensäure-Zylinder kann Kohlendioxid entweichen. Ein</w:t>
            </w:r>
            <w:r>
              <w:rPr>
                <w:sz w:val="20"/>
              </w:rPr>
              <w:t xml:space="preserve"> </w:t>
            </w:r>
            <w:r w:rsidRPr="004C6A9B">
              <w:rPr>
                <w:sz w:val="20"/>
              </w:rPr>
              <w:t>Kohlensäureaustritt kann in schlecht belüfteten Räumen zu Unwohlsein bzw. zu Erstickung führen.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000000"/>
                <w:sz w:val="20"/>
                <w:lang w:eastAsia="en-US"/>
              </w:rPr>
              <w:t>Gebrauchsanleitung vor Inbetriebnahme lesen und beachten!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Wassersprudler darf nur von Erwachsenen verwendet werden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color w:val="000000"/>
                <w:sz w:val="20"/>
                <w:lang w:eastAsia="en-US"/>
              </w:rPr>
              <w:t>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 Sie den Wassersprudler ausschließlich in aufrechter Position.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Keine Nutzung/Lagerung in Räumen &lt; 3 m².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Besprudeln Sie keine leeren Flaschen.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Besprudeln Sie ausschließlich (Leitungs-)Wasser.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Besprudeln Sie 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color w:val="000000"/>
                <w:sz w:val="20"/>
                <w:lang w:eastAsia="en-US"/>
              </w:rPr>
              <w:t xml:space="preserve">kein Wasser mit Zusätzen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(u.a.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Sirup) oder andere Getränke.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Geben Sie Sirup immer erst nach dem Sprudeln dazu.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 Sie ausschließlich SodaStream-Kunststoffflaschen mit Schraubgewinde.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SodaStream Glasflaschen dürfen in diesem Gerät nicht verwendet werden.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Keine beschädigten oder verformten Flaschen verwenden; Haltbarkeitsdatum beachten!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Ausschließlich geeignete Kohlensäure-Zylinder von SodaStream oder Soda-Club verwenden.</w:t>
            </w:r>
          </w:p>
          <w:p w:rsidR="004C6A9B" w:rsidRPr="004C6A9B" w:rsidRDefault="004C6A9B" w:rsidP="004C6A9B">
            <w:pPr>
              <w:autoSpaceDE w:val="0"/>
              <w:autoSpaceDN w:val="0"/>
              <w:adjustRightInd w:val="0"/>
              <w:ind w:left="36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4C6A9B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Verhaltensregeln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Unterziehen Sie den Wassersprudler und das Zubehör vor Nutzung einer Sichtprüfung.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Prüfen Sie vor dem Gebrauch den Kohlensäurezylinder und das Ventil auf Dellen,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Löcher oder sonstige Schäden.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Wenn Sie einen Mangel finden, verwenden Sie den Kohlensäure-Zylinder nicht und kontaktieren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Sie den SodaStream-Kundenservice.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Transportieren Sie den Wassersprudler nicht mit eingesetztem Zylinder.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Kunststoffflasche nicht während des Sprudelvorganges entnehmen.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Verwenden Sie keine starken Reinigungsmittel oder scharfen Gegenstände zur Reinigung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des Wassersprudlers.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Reinigen Sie den Wassersprudler und die PET-Sprudlerflaschen nicht in der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Spülmaschine, sondern ausschließlich mit handwarmem Wasser.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Tauchen Sie den Wassersprudler nie in Wasser ein.</w:t>
            </w:r>
          </w:p>
          <w:p w:rsidR="004C6A9B" w:rsidRDefault="004C6A9B" w:rsidP="004C6A9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</w:p>
          <w:p w:rsidR="004C6A9B" w:rsidRDefault="004C6A9B" w:rsidP="004C6A9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</w:p>
          <w:p w:rsidR="004C6A9B" w:rsidRDefault="004C6A9B" w:rsidP="004C6A9B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</w:p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4C6A9B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lastRenderedPageBreak/>
              <w:t>Umgang mit Kohlensäure-Zylinder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Enthält Gas unter Druck! Kann bei Erwärmen explodieren! An einem gut belüfteten Ort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aufbewahren, vor Wärmequellen über 50°C und vor Sonneneinstrahlung schützen.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Kohlensäure-Zylinder nicht werfen und nicht fallen lassen.</w:t>
            </w:r>
          </w:p>
          <w:p w:rsidR="00D079E7" w:rsidRPr="004C6A9B" w:rsidRDefault="004C6A9B" w:rsidP="004C6A9B">
            <w:pPr>
              <w:pStyle w:val="Listenabsatz"/>
              <w:numPr>
                <w:ilvl w:val="0"/>
                <w:numId w:val="8"/>
              </w:numPr>
              <w:spacing w:after="60"/>
              <w:rPr>
                <w:sz w:val="20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Verwendung nur im SodaStream-Wassersprudler. Zylinder nicht beschädigen oder verbrennen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4C6A9B" w:rsidRDefault="004C6A9B" w:rsidP="004C6A9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Wenn Sie einen Mangel am Gerät bzw. am Zubehör (PET-Flasche oder Kohlensäure-Zylinder) finden,</w:t>
            </w:r>
            <w:r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wenden Sie sich an den nächsten SodaStream-Kundenservice.</w:t>
            </w:r>
            <w:r w:rsidRPr="004C6A9B">
              <w:rPr>
                <w:rFonts w:ascii="Helvetica-Bold" w:eastAsiaTheme="minorHAnsi" w:hAnsi="Helvetica-Bold" w:cs="Helvetica-Bold"/>
                <w:b/>
                <w:bCs/>
                <w:color w:val="FFFFFF"/>
                <w:szCs w:val="24"/>
                <w:lang w:eastAsia="en-US"/>
              </w:rPr>
              <w:t xml:space="preserve"> – E R 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4C6A9B" w:rsidRPr="004C6A9B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4C6A9B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Erstickungsgefahr bei plötzlichem Kohlensäureaustritt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Bei Schwindel oder Unwohlsein, den Raum, in dem sich der Wassersprudler befindet, gründlich für einen</w:t>
            </w:r>
            <w:r>
              <w:rPr>
                <w:sz w:val="20"/>
              </w:rPr>
              <w:t xml:space="preserve"> </w:t>
            </w:r>
            <w:r w:rsidRPr="004C6A9B">
              <w:rPr>
                <w:sz w:val="20"/>
              </w:rPr>
              <w:t>ganzen Tag lüften.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Ins Freie gehen und frische Luft einatmen.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Kohlensäure-Zylinder nicht anfassen, während Kohlensäure austritt; Zylinder im Wassersprudler belassen.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Nach Kohlensäureaustritt einen Tag warten; danach den Kohlensäure-Zylinder aus dem Wassersprudler</w:t>
            </w:r>
            <w:r>
              <w:rPr>
                <w:sz w:val="20"/>
              </w:rPr>
              <w:t xml:space="preserve"> </w:t>
            </w:r>
            <w:r w:rsidRPr="004C6A9B">
              <w:rPr>
                <w:sz w:val="20"/>
              </w:rPr>
              <w:t>entfernen.</w:t>
            </w:r>
          </w:p>
          <w:p w:rsidR="004C6A9B" w:rsidRPr="004C6A9B" w:rsidRDefault="004C6A9B" w:rsidP="004C6A9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C6A9B">
              <w:rPr>
                <w:sz w:val="20"/>
              </w:rPr>
              <w:t>Zylinder an einem gut belüfteten Ort oder im Freien lagern.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4C6A9B" w:rsidRPr="006F3711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6F3711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Reinigung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Reinigungshinweise für den Wassersprudler und das Zubehör gemäß der Gebrauchsanweisung beachten.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PET-Flaschen sind nicht geeignet für die Spülmaschinenreinigung.</w:t>
            </w:r>
          </w:p>
          <w:p w:rsidR="004C6A9B" w:rsidRPr="006F3711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6F3711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Wartung &amp; Reparatur</w:t>
            </w:r>
          </w:p>
          <w:p w:rsidR="004C6A9B" w:rsidRPr="006F3711" w:rsidRDefault="004C6A9B" w:rsidP="006F371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Wartungs- und Reparaturarbeiten sind ausschließlich von Kundenservicevertretern durchzuführen, die von SodaStream</w:t>
            </w:r>
            <w:r w:rsid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autorisiert sind.</w:t>
            </w:r>
          </w:p>
          <w:p w:rsidR="004C6A9B" w:rsidRPr="006F3711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6F3711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Entsorgung</w:t>
            </w:r>
          </w:p>
          <w:p w:rsidR="004C6A9B" w:rsidRPr="004C6A9B" w:rsidRDefault="004C6A9B" w:rsidP="004C6A9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Die Verpackung besteht aus wiederverwertbaren Materialien.</w:t>
            </w:r>
          </w:p>
          <w:p w:rsidR="004C6A9B" w:rsidRPr="006F3711" w:rsidRDefault="004C6A9B" w:rsidP="006F371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In der Europäischen Union dürfen Sie das erworbene Produkt nicht mit dem unsortierten Hausmüll entsorgen. Entsorgen</w:t>
            </w:r>
            <w:r w:rsid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Sie das Produkt über den Sperrmüll oder die Wertstoffhöfe vor Ort und beachten Sie alle einschlägigen Vorschriften.</w:t>
            </w:r>
          </w:p>
          <w:p w:rsidR="004C6A9B" w:rsidRPr="006F3711" w:rsidRDefault="004C6A9B" w:rsidP="006F371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Geben Sie den Zylinder am Ende der Nutzungsdauer in gutem Zustand direkt an SodaStream zurück. Wenden Sie sich</w:t>
            </w:r>
            <w:r w:rsid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hierzu direkt an den SodaStream-Kundenservice.</w:t>
            </w:r>
          </w:p>
          <w:p w:rsidR="004C6A9B" w:rsidRPr="006F3711" w:rsidRDefault="004C6A9B" w:rsidP="004C6A9B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 w:rsidRPr="006F3711"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Rechtliche Folgen</w:t>
            </w:r>
          </w:p>
          <w:p w:rsidR="00D079E7" w:rsidRPr="006F3711" w:rsidRDefault="004C6A9B" w:rsidP="006F371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</w:pPr>
            <w:r w:rsidRPr="004C6A9B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Bei Sach- und Personenschäden, die durch Nichtbeachten der Gebrauchsanleitung verursacht werden, erlischt die Gewährleistung</w:t>
            </w:r>
            <w:r w:rsid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 xml:space="preserve"> </w:t>
            </w:r>
            <w:r w:rsidRPr="006F3711">
              <w:rPr>
                <w:rFonts w:ascii="Helvetica" w:eastAsiaTheme="minorHAnsi" w:hAnsi="Helvetica" w:cs="Helvetica"/>
                <w:color w:val="000000"/>
                <w:sz w:val="20"/>
                <w:lang w:eastAsia="en-US"/>
              </w:rPr>
              <w:t>und die Garantie. Für Folgeschäden übernimmt SodaStream keine Haftung.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6F3711">
      <w:rPr>
        <w:noProof/>
        <w:sz w:val="18"/>
        <w:szCs w:val="18"/>
      </w:rPr>
      <w:t>5138</w:t>
    </w:r>
    <w:r w:rsidRPr="0070141D">
      <w:rPr>
        <w:noProof/>
        <w:sz w:val="18"/>
        <w:szCs w:val="18"/>
      </w:rPr>
      <w:t>-FB_BA_</w:t>
    </w:r>
    <w:r w:rsidR="006F3711">
      <w:rPr>
        <w:noProof/>
        <w:sz w:val="18"/>
        <w:szCs w:val="18"/>
      </w:rPr>
      <w:t>Sodastream Cool&amp;Easy TM</w:t>
    </w:r>
    <w:r w:rsidR="006F3711" w:rsidRPr="0070141D">
      <w:rPr>
        <w:noProof/>
        <w:sz w:val="18"/>
        <w:szCs w:val="18"/>
      </w:rPr>
      <w:t xml:space="preserve"> </w:t>
    </w:r>
    <w:r w:rsidR="006F3711">
      <w:rPr>
        <w:noProof/>
        <w:sz w:val="18"/>
        <w:szCs w:val="18"/>
      </w:rPr>
      <w:t>_Version_1.0_2020-11-12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EF12C8"/>
    <w:multiLevelType w:val="hybridMultilevel"/>
    <w:tmpl w:val="88F8F2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5CD1C06"/>
    <w:multiLevelType w:val="hybridMultilevel"/>
    <w:tmpl w:val="ABC41B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4C6A9B"/>
    <w:rsid w:val="00671CB1"/>
    <w:rsid w:val="0069202E"/>
    <w:rsid w:val="006F3711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605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2C01-1E9C-4B80-A2E2-04A61B7B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2020-11-12T11:05:00Z</dcterms:created>
  <dcterms:modified xsi:type="dcterms:W3CDTF">2020-11-12T11:05:00Z</dcterms:modified>
</cp:coreProperties>
</file>