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bereich: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4C6A9B" w:rsidP="008271F6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</w:t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Cs w:val="24"/>
                <w:lang w:eastAsia="en-US"/>
              </w:rPr>
              <w:t xml:space="preserve">                         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>Wassersprudler unter Verwendung</w:t>
            </w:r>
            <w:r w:rsidR="008B0B5E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>von</w:t>
            </w:r>
          </w:p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</w:pP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 xml:space="preserve">                                </w:t>
            </w:r>
            <w:r w:rsidR="008B0B5E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8B0B5E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 xml:space="preserve">Glaskaraffen </w:t>
            </w:r>
          </w:p>
          <w:p w:rsidR="000A7B15" w:rsidRDefault="008B0B5E" w:rsidP="008B0B5E">
            <w:pPr>
              <w:spacing w:before="60" w:after="60"/>
            </w:pPr>
            <w:r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 xml:space="preserve">                               SodaStream </w:t>
            </w:r>
            <w:proofErr w:type="spellStart"/>
            <w:r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Crystel</w:t>
            </w:r>
            <w:proofErr w:type="spellEnd"/>
            <w:r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 xml:space="preserve"> TM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4C6A9B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85513</wp:posOffset>
                  </wp:positionH>
                  <wp:positionV relativeFrom="paragraph">
                    <wp:posOffset>841587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A9B"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39159</wp:posOffset>
                  </wp:positionH>
                  <wp:positionV relativeFrom="paragraph">
                    <wp:posOffset>635</wp:posOffset>
                  </wp:positionV>
                  <wp:extent cx="679181" cy="592666"/>
                  <wp:effectExtent l="0" t="0" r="698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81" cy="59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Verletzungsgefahr durch unter Druck stehenden Behälter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Verletzungsgefahr durch kalten CO²-Behälter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Verletzungsgefahr durch beschädigte oder ungeeignete (Sprudler-)Flasche(n)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Bei Verwendung einer Glaskaraffe mit beschädigtem Gewinde besteht erhebliche Verletzungsgefahr.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Bei Temperaturen von über 50°C und/oder bei direkter Sonneneinstrahlung kann der Kohlensäure-Zylinder explodieren.</w:t>
            </w:r>
          </w:p>
          <w:p w:rsidR="00D079E7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Erstickungsgefahr! Aus einem beschädigten Kohlensäure-Zylinder kann Kohlendioxid entweichen. Ein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Kohlensäureaustritt kann in schlecht belüfteten Räumen zu Unwohlsein bzw. zu Erstickung führen.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8B0B5E" w:rsidRPr="008B0B5E" w:rsidRDefault="008B0B5E" w:rsidP="008B0B5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b/>
                <w:color w:val="000000"/>
                <w:sz w:val="20"/>
                <w:lang w:eastAsia="en-US"/>
              </w:rPr>
              <w:t>Allgemeine Sicherheitshinweise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Gebrauchsanleitung vor Inbetriebnahme lesen und beachten!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Wassersprudler darf nur von Erwachsenen verwendet werden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 Sie den Wassersprudler ausschließlich in aufrechter Position.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Keine Nutzung/Lagerung in Räumen &lt; 3 m².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Besprudeln Sie keine leeren Flaschen.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Besprudeln Sie ausschließlich (Leitungs-)Wasser.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Besprudeln Sie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kein Wasser mit Zusätzen 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(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u.a.Sirup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) oder andere Getränke.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Geben Sie Sirup immer erst nach dem Sprudeln dazu.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 Sie ausschließlich SodaStream-Glaskaraffen mit Schraubgewinde.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SodaStream-Kunststofflaschen dürfen in diesem Gerät nicht verwendet werden.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Untersuchen Sie die Glaskaraffe vor jedem Gebrauch auf Schäden, feine Haarrisse und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insbesondere den </w:t>
            </w:r>
            <w:proofErr w:type="spellStart"/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Karaffenhals</w:t>
            </w:r>
            <w:proofErr w:type="spellEnd"/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Keine Glaskaraffen mit Sprüngen, abgeplatzten Kanten oder anderen Beschädigungen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Glaskaraffe wie ein dünnwandiges Weinglas handhaben. Extreme Temperaturschwankungen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vermeiden.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Ausschließlich geeignete Kohlensäure-Zylinder von SodaStream/Soda-Club verwenden.</w:t>
            </w:r>
          </w:p>
          <w:p w:rsidR="008B0B5E" w:rsidRPr="008B0B5E" w:rsidRDefault="008B0B5E" w:rsidP="008B0B5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b/>
                <w:color w:val="000000"/>
                <w:sz w:val="20"/>
                <w:lang w:eastAsia="en-US"/>
              </w:rPr>
              <w:t>Verhaltensregeln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Unterziehen Sie den Wassersprudler und das Zubehör vor Nutzung einer Sichtprüfung.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Kontrollieren Sie die Glaskaraffe während der Nutzung; nicht aus der Glaskaraffe trinken.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Prüfen Sie vor dem Gebrauch den Kohlensäurezylinder und das Ventil auf Dellen,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Löcher oder sonstige Schäden.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Wenn Sie einen Mangel finden, verwenden Sie den Kohlensäure-Zylinder nicht und kontaktieren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Sie den SodaStream-Kundenservice.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Transportieren Sie den Wassersprudler nicht mit eingesetztem Zylinder.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Glaskaraffe nicht während des Sprudelvorganges entnehmen.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 Sie keine starken Reinigungsmittel oder scharfen Gegenstände zur Reinigung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des Wassersprudlers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Reinigen Sie den Wassersprudler nicht in der Spülmaschine, sondern ausschließlich mit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handwarmem Wasser.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Tauchen Sie den Wassersprudler nie in Wasser ein.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</w:p>
          <w:p w:rsidR="008B0B5E" w:rsidRPr="008B0B5E" w:rsidRDefault="008B0B5E" w:rsidP="008B0B5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b/>
                <w:color w:val="000000"/>
                <w:sz w:val="20"/>
                <w:lang w:eastAsia="en-US"/>
              </w:rPr>
              <w:lastRenderedPageBreak/>
              <w:t>Umgang mit Kohlensäure-Zylinder</w:t>
            </w:r>
          </w:p>
          <w:p w:rsidR="008B0B5E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Enthält Gas unter Druck! Kann bei Erwärmen explodieren! An einem gut belüfteten Ort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aufbewahren, vor Wärmequellen über 5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0°C und vor Sonneneinstrahlung s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chützen.</w:t>
            </w:r>
          </w:p>
          <w:p w:rsid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Kohlensäure-Zylinder nicht werfen und nicht fallen lassen.</w:t>
            </w:r>
          </w:p>
          <w:p w:rsidR="00D079E7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Verwendung nur im SodaStream-Wassersprudler. Zylinder nicht beschädigen oder verbrennen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8B0B5E" w:rsidRDefault="008B0B5E" w:rsidP="008B0B5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Wenn Sie einen Mangel am Gerät bzw. am Zubehör (Glaskaraffe oder Kohlensäure-Zylinder) finden,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wenden Sie sich an den nächsten SodaStream-Kundenservice.</w:t>
            </w:r>
            <w:r w:rsidR="004C6A9B" w:rsidRPr="008B0B5E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– E</w:t>
            </w:r>
            <w:r w:rsidR="004C6A9B" w:rsidRPr="008B0B5E">
              <w:rPr>
                <w:rFonts w:ascii="Helvetica-Bold" w:eastAsiaTheme="minorHAnsi" w:hAnsi="Helvetica-Bold" w:cs="Helvetica-Bold"/>
                <w:b/>
                <w:bCs/>
                <w:color w:val="FFFFFF"/>
                <w:szCs w:val="24"/>
                <w:lang w:eastAsia="en-US"/>
              </w:rPr>
              <w:t xml:space="preserve"> R 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4C6A9B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Erstickungsgefahr bei plötzlichem Kohlensäureaustritt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Bei Schwindel oder Unwohlsein, den Raum, in dem sich der Wassersprudler befindet, gründlich für einen</w:t>
            </w:r>
            <w:r>
              <w:rPr>
                <w:sz w:val="20"/>
              </w:rPr>
              <w:t xml:space="preserve"> </w:t>
            </w:r>
            <w:r w:rsidRPr="004C6A9B">
              <w:rPr>
                <w:sz w:val="20"/>
              </w:rPr>
              <w:t>ganzen Tag lüften.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Ins Freie gehen und frische Luft einatmen.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Kohlensäure-Zylinder nicht anfassen, während Kohlensäure austritt; Zylinder im Wassersprudler belassen.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Nach Kohlensäureaustritt einen Tag warten; danach den Kohlensäure-Zylinder aus dem Wassersprudler</w:t>
            </w:r>
            <w:r>
              <w:rPr>
                <w:sz w:val="20"/>
              </w:rPr>
              <w:t xml:space="preserve"> </w:t>
            </w:r>
            <w:r w:rsidRPr="004C6A9B">
              <w:rPr>
                <w:sz w:val="20"/>
              </w:rPr>
              <w:t>entfernen.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Zylinder an einem gut belüfteten Ort oder im Freien lagern.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8B0B5E" w:rsidRPr="00E65D55" w:rsidRDefault="008B0B5E" w:rsidP="00E65D55">
            <w:pPr>
              <w:spacing w:after="60"/>
              <w:rPr>
                <w:b/>
                <w:sz w:val="20"/>
              </w:rPr>
            </w:pPr>
            <w:r w:rsidRPr="00E65D55">
              <w:rPr>
                <w:b/>
                <w:sz w:val="20"/>
              </w:rPr>
              <w:t>Reinigung</w:t>
            </w:r>
          </w:p>
          <w:p w:rsidR="008B0B5E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>Reinigungshinweise für den Wassersprudler und das Zubehör gemäß der Gebrauchsanweisung beachten.</w:t>
            </w:r>
          </w:p>
          <w:p w:rsidR="008B0B5E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 xml:space="preserve">Glaskaraffe vorsichtig in die Spülmaschine stellen; kein heißes Wasser in eine kalte Glaskaraffe geben </w:t>
            </w:r>
            <w:r w:rsidRPr="00E65D55">
              <w:rPr>
                <w:sz w:val="20"/>
              </w:rPr>
              <w:t> Temperaturschwankungen</w:t>
            </w:r>
            <w:r w:rsidR="00E65D55">
              <w:rPr>
                <w:sz w:val="20"/>
              </w:rPr>
              <w:t xml:space="preserve"> </w:t>
            </w:r>
            <w:r w:rsidRPr="00E65D55">
              <w:rPr>
                <w:sz w:val="20"/>
              </w:rPr>
              <w:t>von über 50°C müssen vermieden werden.</w:t>
            </w:r>
          </w:p>
          <w:p w:rsidR="008B0B5E" w:rsidRPr="00E65D55" w:rsidRDefault="008B0B5E" w:rsidP="00E65D55">
            <w:pPr>
              <w:spacing w:after="60"/>
              <w:rPr>
                <w:b/>
                <w:sz w:val="20"/>
              </w:rPr>
            </w:pPr>
            <w:r w:rsidRPr="00E65D55">
              <w:rPr>
                <w:b/>
                <w:sz w:val="20"/>
              </w:rPr>
              <w:t>Wartung &amp; Reparatur</w:t>
            </w:r>
          </w:p>
          <w:p w:rsidR="008B0B5E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>Wartungs- und Reparaturarbeiten sind ausschließlich von Kundenservicevertretern durchzuführen, die von SodaStream</w:t>
            </w:r>
            <w:r w:rsidR="00E65D55">
              <w:rPr>
                <w:sz w:val="20"/>
              </w:rPr>
              <w:t xml:space="preserve"> </w:t>
            </w:r>
            <w:r w:rsidRPr="00E65D55">
              <w:rPr>
                <w:sz w:val="20"/>
              </w:rPr>
              <w:t>autorisiert sind.</w:t>
            </w:r>
          </w:p>
          <w:p w:rsidR="008B0B5E" w:rsidRPr="00E65D55" w:rsidRDefault="008B0B5E" w:rsidP="00E65D55">
            <w:pPr>
              <w:spacing w:after="60"/>
              <w:rPr>
                <w:b/>
                <w:sz w:val="20"/>
              </w:rPr>
            </w:pPr>
            <w:r w:rsidRPr="00E65D55">
              <w:rPr>
                <w:b/>
                <w:sz w:val="20"/>
              </w:rPr>
              <w:t>Entsorgung</w:t>
            </w:r>
          </w:p>
          <w:p w:rsidR="008B0B5E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>Die Verpackung besteht aus wiederverwertbaren Materialien.</w:t>
            </w:r>
          </w:p>
          <w:p w:rsidR="008B0B5E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>In der Europäischen Union dürfen Sie das erworbene Produkt nicht mit dem unsortierten Hausmüll entsorgen. Entsorgen</w:t>
            </w:r>
            <w:r w:rsidR="00E65D55">
              <w:rPr>
                <w:sz w:val="20"/>
              </w:rPr>
              <w:t xml:space="preserve"> </w:t>
            </w:r>
            <w:r w:rsidRPr="00E65D55">
              <w:rPr>
                <w:sz w:val="20"/>
              </w:rPr>
              <w:t>Sie das Produkt über den Sperrmüll oder die Wertstoffhöfe vor Ort und beachten Sie alle einschlägigen Vorschriften.</w:t>
            </w:r>
          </w:p>
          <w:p w:rsidR="008B0B5E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>Geben Sie den Zylinder am Ende der Nutzungsdauer in gutem Zustand direkt an SodaStream zurück. Wenden Sie sich</w:t>
            </w:r>
            <w:r w:rsidR="00E65D55">
              <w:rPr>
                <w:sz w:val="20"/>
              </w:rPr>
              <w:t xml:space="preserve"> </w:t>
            </w:r>
            <w:r w:rsidRPr="00E65D55">
              <w:rPr>
                <w:sz w:val="20"/>
              </w:rPr>
              <w:t>hierzu direkt an den SodaStream-Kundenservice.</w:t>
            </w:r>
          </w:p>
          <w:p w:rsidR="008B0B5E" w:rsidRPr="00E65D55" w:rsidRDefault="008B0B5E" w:rsidP="00E65D55">
            <w:pPr>
              <w:spacing w:after="60"/>
              <w:rPr>
                <w:b/>
                <w:sz w:val="20"/>
              </w:rPr>
            </w:pPr>
            <w:r w:rsidRPr="00E65D55">
              <w:rPr>
                <w:b/>
                <w:sz w:val="20"/>
              </w:rPr>
              <w:t>Rechtliche Folgen</w:t>
            </w:r>
          </w:p>
          <w:p w:rsidR="00D079E7" w:rsidRPr="00E65D55" w:rsidRDefault="008B0B5E" w:rsidP="00E65D5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65D55">
              <w:rPr>
                <w:sz w:val="20"/>
              </w:rPr>
              <w:t>Bei Sach- und Personenschäden, die durch Nichtbeachten der Gebrauchsanleitung verursacht werden, erlischt die Gewährleistung</w:t>
            </w:r>
            <w:r w:rsidR="00E65D55">
              <w:rPr>
                <w:sz w:val="20"/>
              </w:rPr>
              <w:t xml:space="preserve"> </w:t>
            </w:r>
            <w:r w:rsidRPr="00E65D55">
              <w:rPr>
                <w:sz w:val="20"/>
              </w:rPr>
              <w:t>und die Garantie. Für Folgeschäden übernimmt SodaStream keine Haftung.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E65D55">
      <w:rPr>
        <w:noProof/>
        <w:sz w:val="18"/>
        <w:szCs w:val="18"/>
      </w:rPr>
      <w:t>5139</w:t>
    </w:r>
    <w:r w:rsidRPr="0070141D">
      <w:rPr>
        <w:noProof/>
        <w:sz w:val="18"/>
        <w:szCs w:val="18"/>
      </w:rPr>
      <w:t>-FB_BA_</w:t>
    </w:r>
    <w:r w:rsidR="00E65D55">
      <w:rPr>
        <w:noProof/>
        <w:sz w:val="18"/>
        <w:szCs w:val="18"/>
      </w:rPr>
      <w:t>Sodastream Crystel</w:t>
    </w:r>
    <w:r w:rsidR="006F3711">
      <w:rPr>
        <w:noProof/>
        <w:sz w:val="18"/>
        <w:szCs w:val="18"/>
      </w:rPr>
      <w:t xml:space="preserve"> TM</w:t>
    </w:r>
    <w:r w:rsidR="006F3711" w:rsidRPr="0070141D">
      <w:rPr>
        <w:noProof/>
        <w:sz w:val="18"/>
        <w:szCs w:val="18"/>
      </w:rPr>
      <w:t xml:space="preserve"> </w:t>
    </w:r>
    <w:r w:rsidR="006F3711">
      <w:rPr>
        <w:noProof/>
        <w:sz w:val="18"/>
        <w:szCs w:val="18"/>
      </w:rPr>
      <w:t>_Version_1.0_2020-11-12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EF12C8"/>
    <w:multiLevelType w:val="hybridMultilevel"/>
    <w:tmpl w:val="88F8F2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5CD1C06"/>
    <w:multiLevelType w:val="hybridMultilevel"/>
    <w:tmpl w:val="ABC41B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4C6A9B"/>
    <w:rsid w:val="00671CB1"/>
    <w:rsid w:val="0069202E"/>
    <w:rsid w:val="006F3711"/>
    <w:rsid w:val="0070141D"/>
    <w:rsid w:val="007578E8"/>
    <w:rsid w:val="00781F26"/>
    <w:rsid w:val="00896A61"/>
    <w:rsid w:val="008B0B5E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65D55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605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1DED-FC77-4F0D-9A02-4FFA383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2020-11-12T11:15:00Z</dcterms:created>
  <dcterms:modified xsi:type="dcterms:W3CDTF">2020-11-12T11:15:00Z</dcterms:modified>
</cp:coreProperties>
</file>