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834"/>
        <w:gridCol w:w="3827"/>
        <w:gridCol w:w="1135"/>
        <w:gridCol w:w="1134"/>
        <w:gridCol w:w="1442"/>
        <w:gridCol w:w="1442"/>
      </w:tblGrid>
      <w:tr w:rsidR="00D5191F" w:rsidTr="00C575F6">
        <w:trPr>
          <w:gridAfter w:val="2"/>
          <w:wAfter w:w="2884" w:type="dxa"/>
        </w:trPr>
        <w:tc>
          <w:tcPr>
            <w:tcW w:w="3814" w:type="dxa"/>
            <w:gridSpan w:val="2"/>
            <w:tcBorders>
              <w:top w:val="single" w:sz="48" w:space="0" w:color="00B050"/>
              <w:left w:val="single" w:sz="48" w:space="0" w:color="00B050"/>
              <w:bottom w:val="single" w:sz="48" w:space="0" w:color="00B050"/>
              <w:right w:val="single" w:sz="12" w:space="0" w:color="00B050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814733F" wp14:editId="73961FA9">
                  <wp:extent cx="2340000" cy="327600"/>
                  <wp:effectExtent l="0" t="0" r="3175" b="0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7" w:type="dxa"/>
            <w:tcBorders>
              <w:top w:val="single" w:sz="48" w:space="0" w:color="00B050"/>
              <w:left w:val="single" w:sz="12" w:space="0" w:color="00B050"/>
              <w:bottom w:val="single" w:sz="48" w:space="0" w:color="00B050"/>
              <w:right w:val="single" w:sz="12" w:space="0" w:color="00B050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B74E3" w:rsidRPr="000B74E3" w:rsidRDefault="000B74E3" w:rsidP="000B74E3">
            <w:pPr>
              <w:rPr>
                <w:sz w:val="22"/>
                <w:szCs w:val="22"/>
              </w:rPr>
            </w:pPr>
            <w:r w:rsidRPr="000B74E3">
              <w:rPr>
                <w:sz w:val="22"/>
                <w:szCs w:val="22"/>
              </w:rPr>
              <w:t>Geltungs-</w:t>
            </w:r>
          </w:p>
          <w:p w:rsidR="000A7B15" w:rsidRPr="005B4F92" w:rsidRDefault="000B74E3" w:rsidP="000B74E3">
            <w:pPr>
              <w:rPr>
                <w:sz w:val="28"/>
                <w:szCs w:val="28"/>
              </w:rPr>
            </w:pPr>
            <w:proofErr w:type="spellStart"/>
            <w:r w:rsidRPr="000B74E3">
              <w:rPr>
                <w:sz w:val="22"/>
                <w:szCs w:val="22"/>
              </w:rPr>
              <w:t>bereich</w:t>
            </w:r>
            <w:proofErr w:type="spellEnd"/>
            <w:r w:rsidRPr="000B74E3">
              <w:rPr>
                <w:sz w:val="22"/>
                <w:szCs w:val="22"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48" w:space="0" w:color="00B050"/>
              <w:left w:val="single" w:sz="12" w:space="0" w:color="00B050"/>
              <w:bottom w:val="single" w:sz="48" w:space="0" w:color="00B050"/>
              <w:right w:val="single" w:sz="48" w:space="0" w:color="00B050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C575F6">
        <w:tc>
          <w:tcPr>
            <w:tcW w:w="9910" w:type="dxa"/>
            <w:gridSpan w:val="5"/>
            <w:tcBorders>
              <w:top w:val="single" w:sz="48" w:space="0" w:color="E36C0A" w:themeColor="accent6" w:themeShade="BF"/>
              <w:left w:val="single" w:sz="48" w:space="0" w:color="00B050"/>
              <w:bottom w:val="nil"/>
              <w:right w:val="single" w:sz="48" w:space="0" w:color="00B050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2" w:type="dxa"/>
            <w:tcBorders>
              <w:top w:val="nil"/>
              <w:left w:val="single" w:sz="48" w:space="0" w:color="00B050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C575F6">
        <w:tblPrEx>
          <w:tblCellMar>
            <w:left w:w="71" w:type="dxa"/>
            <w:right w:w="71" w:type="dxa"/>
          </w:tblCellMar>
        </w:tblPrEx>
        <w:trPr>
          <w:gridAfter w:val="2"/>
          <w:wAfter w:w="2884" w:type="dxa"/>
        </w:trPr>
        <w:tc>
          <w:tcPr>
            <w:tcW w:w="980" w:type="dxa"/>
            <w:tcBorders>
              <w:top w:val="single" w:sz="12" w:space="0" w:color="00B050"/>
              <w:left w:val="single" w:sz="48" w:space="0" w:color="00B050"/>
              <w:bottom w:val="single" w:sz="48" w:space="0" w:color="00B050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0" w:type="dxa"/>
            <w:gridSpan w:val="4"/>
            <w:tcBorders>
              <w:top w:val="single" w:sz="12" w:space="0" w:color="00B050"/>
              <w:left w:val="nil"/>
              <w:bottom w:val="single" w:sz="48" w:space="0" w:color="00B050"/>
              <w:right w:val="single" w:sz="48" w:space="0" w:color="00B050"/>
            </w:tcBorders>
            <w:shd w:val="solid" w:color="FFFFFF" w:fill="auto"/>
          </w:tcPr>
          <w:p w:rsidR="000A7B15" w:rsidRPr="009707CB" w:rsidRDefault="00145817" w:rsidP="008271F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Diese Betriebsanweisung enthält allgemeine Regeln fü</w:t>
            </w:r>
            <w:r w:rsidRPr="00145817">
              <w:rPr>
                <w:sz w:val="20"/>
              </w:rPr>
              <w:t>r den Umgang mit Tauben- und Fled</w:t>
            </w:r>
            <w:r>
              <w:rPr>
                <w:sz w:val="20"/>
              </w:rPr>
              <w:t>ermauskot. Sie gibt Hinweise fü</w:t>
            </w:r>
            <w:r w:rsidRPr="00145817">
              <w:rPr>
                <w:sz w:val="20"/>
              </w:rPr>
              <w:t>r das En</w:t>
            </w:r>
            <w:r>
              <w:rPr>
                <w:sz w:val="20"/>
              </w:rPr>
              <w:t>tfernen des Kots in Kirchengebä</w:t>
            </w:r>
            <w:r w:rsidRPr="00145817">
              <w:rPr>
                <w:sz w:val="20"/>
              </w:rPr>
              <w:t>uden.</w:t>
            </w:r>
          </w:p>
        </w:tc>
      </w:tr>
      <w:tr w:rsidR="000A7B15" w:rsidTr="00C575F6">
        <w:tc>
          <w:tcPr>
            <w:tcW w:w="9910" w:type="dxa"/>
            <w:gridSpan w:val="5"/>
            <w:tcBorders>
              <w:top w:val="single" w:sz="48" w:space="0" w:color="E36C0A" w:themeColor="accent6" w:themeShade="BF"/>
              <w:left w:val="single" w:sz="48" w:space="0" w:color="00B050"/>
              <w:bottom w:val="nil"/>
              <w:right w:val="single" w:sz="48" w:space="0" w:color="00B050"/>
            </w:tcBorders>
            <w:shd w:val="clear" w:color="FF0000" w:fill="auto"/>
          </w:tcPr>
          <w:p w:rsidR="000A7B15" w:rsidRDefault="00145817" w:rsidP="00D5191F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442" w:type="dxa"/>
            <w:tcBorders>
              <w:top w:val="nil"/>
              <w:left w:val="single" w:sz="48" w:space="0" w:color="00B050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C575F6">
        <w:trPr>
          <w:gridAfter w:val="1"/>
          <w:wAfter w:w="1442" w:type="dxa"/>
        </w:trPr>
        <w:tc>
          <w:tcPr>
            <w:tcW w:w="980" w:type="dxa"/>
            <w:tcBorders>
              <w:top w:val="single" w:sz="12" w:space="0" w:color="00B050"/>
              <w:left w:val="single" w:sz="48" w:space="0" w:color="00B050"/>
              <w:bottom w:val="single" w:sz="48" w:space="0" w:color="00B050"/>
              <w:right w:val="nil"/>
            </w:tcBorders>
            <w:shd w:val="clear" w:color="FF0000" w:fill="auto"/>
          </w:tcPr>
          <w:p w:rsidR="000A7B15" w:rsidRDefault="003C125D" w:rsidP="008271F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1162685</wp:posOffset>
                  </wp:positionV>
                  <wp:extent cx="576000" cy="576000"/>
                  <wp:effectExtent l="0" t="0" r="0" b="0"/>
                  <wp:wrapNone/>
                  <wp:docPr id="9" name="Grafik 9" descr="https://www.bghm.de/fileadmin/_processed_/0/c/csm_GHS_05_gr_1525747ac8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ghm.de/fileadmin/_processed_/0/c/csm_GHS_05_gr_1525747ac8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529590</wp:posOffset>
                  </wp:positionV>
                  <wp:extent cx="576000" cy="576000"/>
                  <wp:effectExtent l="0" t="0" r="0" b="0"/>
                  <wp:wrapNone/>
                  <wp:docPr id="8" name="Grafik 8" descr="https://www.bghm.de/fileadmin/_processed_/f/8/csm_GHS_01_gr_0caf473094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ghm.de/fileadmin/_processed_/f/8/csm_GHS_01_gr_0caf473094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54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-50165</wp:posOffset>
                  </wp:positionV>
                  <wp:extent cx="576000" cy="500400"/>
                  <wp:effectExtent l="0" t="0" r="0" b="0"/>
                  <wp:wrapNone/>
                  <wp:docPr id="3" name="Grafik 3" descr="https://www.bghm.de/fileadmin/_processed_/9/c/csm_W009_Warnung_vor_Biogefaehrdung_1a51b45f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ghm.de/fileadmin/_processed_/9/c/csm_W009_Warnung_vor_Biogefaehrdung_1a51b45f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4"/>
            <w:tcBorders>
              <w:top w:val="single" w:sz="12" w:space="0" w:color="00B050"/>
              <w:left w:val="nil"/>
              <w:bottom w:val="single" w:sz="48" w:space="0" w:color="00B050"/>
              <w:right w:val="single" w:sz="48" w:space="0" w:color="00B050"/>
            </w:tcBorders>
            <w:shd w:val="clear" w:color="FF0000" w:fill="auto"/>
          </w:tcPr>
          <w:p w:rsidR="00145817" w:rsidRPr="00145817" w:rsidRDefault="00145817" w:rsidP="00145817">
            <w:pPr>
              <w:numPr>
                <w:ilvl w:val="0"/>
                <w:numId w:val="5"/>
              </w:numPr>
              <w:spacing w:after="60"/>
              <w:ind w:hanging="277"/>
              <w:rPr>
                <w:color w:val="000000"/>
                <w:sz w:val="20"/>
              </w:rPr>
            </w:pPr>
            <w:r w:rsidRPr="00145817">
              <w:rPr>
                <w:color w:val="000000"/>
                <w:sz w:val="20"/>
              </w:rPr>
              <w:t>Infektionsgefahr: Durch Aufwirbeln des staubige</w:t>
            </w:r>
            <w:r>
              <w:rPr>
                <w:color w:val="000000"/>
                <w:sz w:val="20"/>
              </w:rPr>
              <w:t>n Kots beim Reinigen (Fegen, Bürsten, Schaufeln) können Infektionserreger ü</w:t>
            </w:r>
            <w:r w:rsidRPr="00145817">
              <w:rPr>
                <w:color w:val="000000"/>
                <w:sz w:val="20"/>
              </w:rPr>
              <w:t>ber die Ateml</w:t>
            </w:r>
            <w:r>
              <w:rPr>
                <w:color w:val="000000"/>
                <w:sz w:val="20"/>
              </w:rPr>
              <w:t>uft, die Haut und die Schleimhä</w:t>
            </w:r>
            <w:r w:rsidRPr="00145817">
              <w:rPr>
                <w:color w:val="000000"/>
                <w:sz w:val="20"/>
              </w:rPr>
              <w:t xml:space="preserve">ute aufgenommen werden. </w:t>
            </w:r>
          </w:p>
          <w:p w:rsidR="00145817" w:rsidRPr="00145817" w:rsidRDefault="00145817" w:rsidP="00145817">
            <w:pPr>
              <w:numPr>
                <w:ilvl w:val="0"/>
                <w:numId w:val="5"/>
              </w:numPr>
              <w:spacing w:after="60"/>
              <w:ind w:hanging="277"/>
              <w:rPr>
                <w:color w:val="000000"/>
                <w:sz w:val="20"/>
              </w:rPr>
            </w:pPr>
            <w:r w:rsidRPr="00145817">
              <w:rPr>
                <w:color w:val="000000"/>
                <w:sz w:val="20"/>
              </w:rPr>
              <w:t xml:space="preserve">Allergische Reaktion durch Stiche von Parasiten (z. B. der Taubenzecke und der Roten Milbe) und das Einatmen von Schimmelpilzsporen. </w:t>
            </w:r>
          </w:p>
          <w:p w:rsidR="00145817" w:rsidRPr="00145817" w:rsidRDefault="00145817" w:rsidP="00145817">
            <w:pPr>
              <w:numPr>
                <w:ilvl w:val="0"/>
                <w:numId w:val="5"/>
              </w:numPr>
              <w:spacing w:after="60"/>
              <w:ind w:hanging="277"/>
              <w:rPr>
                <w:color w:val="000000"/>
                <w:sz w:val="20"/>
              </w:rPr>
            </w:pPr>
            <w:r w:rsidRPr="00145817">
              <w:rPr>
                <w:color w:val="000000"/>
                <w:sz w:val="20"/>
              </w:rPr>
              <w:t xml:space="preserve">Brand- und Explosionsgefahr beim Aufwirbeln von trockenem und staubigem Kot. </w:t>
            </w:r>
          </w:p>
          <w:p w:rsidR="000A7B15" w:rsidRDefault="00145817" w:rsidP="00145817">
            <w:pPr>
              <w:numPr>
                <w:ilvl w:val="0"/>
                <w:numId w:val="5"/>
              </w:numPr>
              <w:spacing w:after="60"/>
              <w:ind w:hanging="277"/>
              <w:rPr>
                <w:color w:val="000000"/>
                <w:sz w:val="20"/>
              </w:rPr>
            </w:pPr>
            <w:r w:rsidRPr="00145817">
              <w:rPr>
                <w:color w:val="000000"/>
                <w:sz w:val="20"/>
              </w:rPr>
              <w:t>Taubenkot hat durch seinen hohen pH-Wert ein</w:t>
            </w:r>
            <w:r>
              <w:rPr>
                <w:color w:val="000000"/>
                <w:sz w:val="20"/>
              </w:rPr>
              <w:t>e ä</w:t>
            </w:r>
            <w:r w:rsidRPr="00145817">
              <w:rPr>
                <w:color w:val="000000"/>
                <w:sz w:val="20"/>
              </w:rPr>
              <w:t>tzende Wirkung.</w:t>
            </w:r>
          </w:p>
          <w:p w:rsidR="003C125D" w:rsidRDefault="003C125D" w:rsidP="003C125D">
            <w:pPr>
              <w:spacing w:after="60"/>
              <w:rPr>
                <w:color w:val="000000"/>
                <w:sz w:val="20"/>
              </w:rPr>
            </w:pPr>
          </w:p>
          <w:p w:rsidR="003C125D" w:rsidRDefault="003C125D" w:rsidP="003C125D">
            <w:pPr>
              <w:spacing w:after="60"/>
              <w:rPr>
                <w:color w:val="000000"/>
                <w:sz w:val="20"/>
              </w:rPr>
            </w:pPr>
          </w:p>
          <w:p w:rsidR="003C125D" w:rsidRDefault="003C125D" w:rsidP="003C125D">
            <w:pPr>
              <w:spacing w:after="60"/>
              <w:rPr>
                <w:color w:val="000000"/>
                <w:sz w:val="20"/>
              </w:rPr>
            </w:pPr>
          </w:p>
          <w:p w:rsidR="003C125D" w:rsidRDefault="003C125D" w:rsidP="00145817">
            <w:pPr>
              <w:spacing w:after="60"/>
              <w:rPr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single" w:sz="48" w:space="0" w:color="00B050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C575F6">
        <w:tc>
          <w:tcPr>
            <w:tcW w:w="9910" w:type="dxa"/>
            <w:gridSpan w:val="5"/>
            <w:tcBorders>
              <w:top w:val="single" w:sz="48" w:space="0" w:color="E36C0A" w:themeColor="accent6" w:themeShade="BF"/>
              <w:left w:val="single" w:sz="48" w:space="0" w:color="00B050"/>
              <w:bottom w:val="nil"/>
              <w:right w:val="single" w:sz="48" w:space="0" w:color="00B050"/>
            </w:tcBorders>
            <w:shd w:val="solid" w:color="FFFFFF" w:fill="FF0000"/>
          </w:tcPr>
          <w:p w:rsidR="000A7B15" w:rsidRDefault="00145817" w:rsidP="008271F6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2" w:type="dxa"/>
            <w:tcBorders>
              <w:top w:val="nil"/>
              <w:left w:val="single" w:sz="48" w:space="0" w:color="00B050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C575F6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4" w:type="dxa"/>
          <w:trHeight w:val="4087"/>
        </w:trPr>
        <w:tc>
          <w:tcPr>
            <w:tcW w:w="980" w:type="dxa"/>
            <w:tcBorders>
              <w:top w:val="single" w:sz="12" w:space="0" w:color="00B050"/>
              <w:left w:val="single" w:sz="48" w:space="0" w:color="00B050"/>
              <w:bottom w:val="single" w:sz="48" w:space="0" w:color="00B050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3C125D" w:rsidP="008271F6">
            <w:pPr>
              <w:jc w:val="center"/>
              <w:rPr>
                <w:b/>
                <w:sz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1419225</wp:posOffset>
                  </wp:positionV>
                  <wp:extent cx="576000" cy="576000"/>
                  <wp:effectExtent l="0" t="0" r="0" b="0"/>
                  <wp:wrapNone/>
                  <wp:docPr id="11" name="Grafik 11" descr="https://www.bghm.de/fileadmin/_processed_/7/5/csm_M017_Atemschutz_benutzen_1990c03b0d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ghm.de/fileadmin/_processed_/7/5/csm_M017_Atemschutz_benutzen_1990c03b0d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687705</wp:posOffset>
                  </wp:positionV>
                  <wp:extent cx="576000" cy="576000"/>
                  <wp:effectExtent l="0" t="0" r="0" b="0"/>
                  <wp:wrapNone/>
                  <wp:docPr id="10" name="Grafik 10" descr="https://www.bghm.de/fileadmin/_processed_/3/3/csm_M010_Schutzkleidung_benutzen_398f76f3c9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ghm.de/fileadmin/_processed_/3/3/csm_M010_Schutzkleidung_benutzen_398f76f3c9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54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32385</wp:posOffset>
                  </wp:positionV>
                  <wp:extent cx="576000" cy="576000"/>
                  <wp:effectExtent l="0" t="0" r="0" b="0"/>
                  <wp:wrapNone/>
                  <wp:docPr id="7" name="Grafik 7" descr="https://www.bghm.de/fileadmin/user_upload/Arbeitsschuetzer/Fachinformationen/Haut/Schutzhandschuhe_tr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ghm.de/fileadmin/user_upload/Arbeitsschuetzer/Fachinformationen/Haut/Schutzhandschuhe_tra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gridSpan w:val="3"/>
            <w:tcBorders>
              <w:top w:val="single" w:sz="12" w:space="0" w:color="00B050"/>
              <w:bottom w:val="single" w:sz="48" w:space="0" w:color="00B050"/>
            </w:tcBorders>
            <w:shd w:val="solid" w:color="FFFFFF" w:fill="FF0000"/>
          </w:tcPr>
          <w:p w:rsidR="00C575F6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 xml:space="preserve">Stark mit Kot kontaminierte Bereiche sperren und erst nach Reinigung wieder zur Nutzung freigeben. </w:t>
            </w:r>
          </w:p>
          <w:p w:rsidR="00145817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>Starke Taubenkot- und Fledermauskotverschmutzungen in u</w:t>
            </w:r>
            <w:r>
              <w:rPr>
                <w:sz w:val="20"/>
              </w:rPr>
              <w:t>nd an Gebä</w:t>
            </w:r>
            <w:r w:rsidRPr="00145817">
              <w:rPr>
                <w:sz w:val="20"/>
              </w:rPr>
              <w:t xml:space="preserve">uden durch Fachfirmen entfernen lassen. </w:t>
            </w:r>
          </w:p>
          <w:p w:rsidR="00145817" w:rsidRPr="00145817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>Geringe Kotverschmutzungen unter Verwendung von Nitril-Schu</w:t>
            </w:r>
            <w:r>
              <w:rPr>
                <w:sz w:val="20"/>
              </w:rPr>
              <w:t>tzhandschuhen, Einwegschutzanzü</w:t>
            </w:r>
            <w:r w:rsidRPr="00145817">
              <w:rPr>
                <w:sz w:val="20"/>
              </w:rPr>
              <w:t xml:space="preserve">gen und Atemschutzmaske (FFP 2) vorsichtig entfernen.  </w:t>
            </w:r>
          </w:p>
          <w:p w:rsidR="00145817" w:rsidRPr="00145817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 xml:space="preserve">Zum Entfernen des Kots Sicherheitssauger (Staubklasse H) verwenden. Standort des Saugers: _____________________________________________  </w:t>
            </w:r>
          </w:p>
          <w:p w:rsidR="00145817" w:rsidRPr="00145817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>Staubbildung vermeiden! Wenn der Kot zuvo</w:t>
            </w:r>
            <w:r>
              <w:rPr>
                <w:sz w:val="20"/>
              </w:rPr>
              <w:t>r leicht angefeuchtet wurde, kö</w:t>
            </w:r>
            <w:r w:rsidRPr="00145817">
              <w:rPr>
                <w:sz w:val="20"/>
              </w:rPr>
              <w:t>nnen k</w:t>
            </w:r>
            <w:r>
              <w:rPr>
                <w:sz w:val="20"/>
              </w:rPr>
              <w:t>leine Mengen mit Reinigungsgeräten wie Bü</w:t>
            </w:r>
            <w:r w:rsidRPr="00145817">
              <w:rPr>
                <w:sz w:val="20"/>
              </w:rPr>
              <w:t xml:space="preserve">rsten, Handfeger und Kehrblech aufgenommen werden. </w:t>
            </w:r>
          </w:p>
          <w:p w:rsidR="00145817" w:rsidRPr="00145817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>
              <w:rPr>
                <w:sz w:val="20"/>
              </w:rPr>
              <w:t>Für ausreichende Belüftung sorgen. Zü</w:t>
            </w:r>
            <w:r w:rsidRPr="00145817">
              <w:rPr>
                <w:sz w:val="20"/>
              </w:rPr>
              <w:t xml:space="preserve">ndquellen vermeiden! </w:t>
            </w:r>
          </w:p>
          <w:p w:rsidR="00145817" w:rsidRPr="00145817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 xml:space="preserve">Im Arbeitsbereich nicht rauchen, essen und trinken.  </w:t>
            </w:r>
          </w:p>
          <w:p w:rsidR="00D5191F" w:rsidRDefault="00145817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>Vor Arbeitspa</w:t>
            </w:r>
            <w:r>
              <w:rPr>
                <w:sz w:val="20"/>
              </w:rPr>
              <w:t>usen Schutzkleidung ablegen, Hä</w:t>
            </w:r>
            <w:r w:rsidRPr="00145817">
              <w:rPr>
                <w:sz w:val="20"/>
              </w:rPr>
              <w:t>nde und Gesicht reinigen.</w:t>
            </w:r>
          </w:p>
        </w:tc>
        <w:tc>
          <w:tcPr>
            <w:tcW w:w="1134" w:type="dxa"/>
            <w:tcBorders>
              <w:top w:val="single" w:sz="12" w:space="0" w:color="00B050"/>
              <w:bottom w:val="single" w:sz="48" w:space="0" w:color="00B050"/>
              <w:right w:val="single" w:sz="48" w:space="0" w:color="00B050"/>
            </w:tcBorders>
            <w:shd w:val="solid" w:color="FFFFFF" w:fill="FF0000"/>
          </w:tcPr>
          <w:p w:rsidR="000A7B15" w:rsidRDefault="00C575F6" w:rsidP="008271F6">
            <w:pPr>
              <w:rPr>
                <w:sz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1007745</wp:posOffset>
                  </wp:positionV>
                  <wp:extent cx="576000" cy="576000"/>
                  <wp:effectExtent l="0" t="0" r="0" b="0"/>
                  <wp:wrapNone/>
                  <wp:docPr id="14" name="Grafik 14" descr="https://www.bghm.de/fileadmin/_processed_/f/1/csm_P003_Keine_offene_Flamme_82682996fb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bghm.de/fileadmin/_processed_/f/1/csm_P003_Keine_offene_Flamme_82682996fb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1707515</wp:posOffset>
                  </wp:positionV>
                  <wp:extent cx="576000" cy="576000"/>
                  <wp:effectExtent l="0" t="0" r="0" b="0"/>
                  <wp:wrapNone/>
                  <wp:docPr id="12" name="Grafik 12" descr="https://www.bghm.de/fileadmin/_processed_/8/0/csm_P022_Essen_und_Trinken_verboten_37ec6117f5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ghm.de/fileadmin/_processed_/8/0/csm_P022_Essen_und_Trinken_verboten_37ec6117f5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5F6" w:rsidTr="00C575F6">
        <w:trPr>
          <w:gridAfter w:val="2"/>
          <w:wAfter w:w="2884" w:type="dxa"/>
          <w:trHeight w:val="405"/>
        </w:trPr>
        <w:tc>
          <w:tcPr>
            <w:tcW w:w="9910" w:type="dxa"/>
            <w:gridSpan w:val="5"/>
            <w:tcBorders>
              <w:top w:val="single" w:sz="48" w:space="0" w:color="E36C0A" w:themeColor="accent6" w:themeShade="BF"/>
              <w:left w:val="single" w:sz="48" w:space="0" w:color="00B050"/>
              <w:bottom w:val="nil"/>
              <w:right w:val="single" w:sz="48" w:space="0" w:color="00B050"/>
            </w:tcBorders>
            <w:shd w:val="solid" w:color="FFFFFF" w:fill="FF0000"/>
          </w:tcPr>
          <w:p w:rsidR="00C575F6" w:rsidRDefault="00C575F6" w:rsidP="008271F6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</w:tr>
      <w:tr w:rsidR="000A7B15" w:rsidTr="00C575F6">
        <w:trPr>
          <w:gridAfter w:val="1"/>
          <w:wAfter w:w="1442" w:type="dxa"/>
        </w:trPr>
        <w:tc>
          <w:tcPr>
            <w:tcW w:w="980" w:type="dxa"/>
            <w:tcBorders>
              <w:top w:val="single" w:sz="12" w:space="0" w:color="00B050"/>
              <w:left w:val="single" w:sz="48" w:space="0" w:color="00B050"/>
              <w:bottom w:val="single" w:sz="48" w:space="0" w:color="00B050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097EB" wp14:editId="6A40D0C9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  <w:tcBorders>
              <w:top w:val="single" w:sz="12" w:space="0" w:color="00B050"/>
              <w:left w:val="nil"/>
              <w:bottom w:val="single" w:sz="48" w:space="0" w:color="00B050"/>
              <w:right w:val="single" w:sz="48" w:space="0" w:color="00B050"/>
            </w:tcBorders>
            <w:shd w:val="solid" w:color="FFFFFF" w:fill="FF0000"/>
          </w:tcPr>
          <w:p w:rsidR="000A7B15" w:rsidRDefault="00145817" w:rsidP="000F12A5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145817">
              <w:rPr>
                <w:sz w:val="20"/>
              </w:rPr>
              <w:t>Beim Auftreten grippeähnlicher Symptome, den Arzt oder Ärztin auf den vorangegangenen Kontakt mit Kot hinweisen</w:t>
            </w:r>
            <w:r w:rsidR="000A7B15">
              <w:rPr>
                <w:sz w:val="20"/>
              </w:rPr>
              <w:t>.</w:t>
            </w:r>
          </w:p>
          <w:p w:rsidR="000A7B15" w:rsidRDefault="000A7B15" w:rsidP="00145817">
            <w:pPr>
              <w:numPr>
                <w:ilvl w:val="0"/>
                <w:numId w:val="1"/>
              </w:numPr>
              <w:spacing w:after="60"/>
              <w:ind w:hanging="277"/>
              <w:rPr>
                <w:sz w:val="20"/>
              </w:rPr>
            </w:pPr>
            <w:r w:rsidRPr="000F042D">
              <w:rPr>
                <w:sz w:val="20"/>
              </w:rPr>
              <w:t xml:space="preserve">Unfall dem nächsten Vorgesetzten melden und Verletzung im </w:t>
            </w:r>
            <w:r w:rsidR="00145817">
              <w:rPr>
                <w:sz w:val="20"/>
              </w:rPr>
              <w:t>Meldeblock</w:t>
            </w:r>
            <w:r w:rsidRPr="000F042D">
              <w:rPr>
                <w:sz w:val="20"/>
              </w:rPr>
              <w:t xml:space="preserve"> eintragen.</w:t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2" w:type="dxa"/>
            <w:tcBorders>
              <w:top w:val="nil"/>
              <w:left w:val="single" w:sz="48" w:space="0" w:color="00B050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C575F6">
        <w:trPr>
          <w:trHeight w:val="413"/>
        </w:trPr>
        <w:tc>
          <w:tcPr>
            <w:tcW w:w="9910" w:type="dxa"/>
            <w:gridSpan w:val="5"/>
            <w:tcBorders>
              <w:top w:val="single" w:sz="48" w:space="0" w:color="E36C0A" w:themeColor="accent6" w:themeShade="BF"/>
              <w:left w:val="single" w:sz="48" w:space="0" w:color="00B050"/>
              <w:bottom w:val="nil"/>
              <w:right w:val="single" w:sz="48" w:space="0" w:color="00B050"/>
            </w:tcBorders>
            <w:shd w:val="solid" w:color="FFFFFF" w:fill="FF0000"/>
          </w:tcPr>
          <w:p w:rsidR="000A7B15" w:rsidRDefault="00145817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Sachgerechte Entsorgung</w:t>
            </w:r>
          </w:p>
        </w:tc>
        <w:tc>
          <w:tcPr>
            <w:tcW w:w="1442" w:type="dxa"/>
            <w:tcBorders>
              <w:top w:val="nil"/>
              <w:left w:val="single" w:sz="48" w:space="0" w:color="00B050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C575F6" w:rsidTr="00C575F6">
        <w:trPr>
          <w:gridAfter w:val="2"/>
          <w:wAfter w:w="2884" w:type="dxa"/>
        </w:trPr>
        <w:tc>
          <w:tcPr>
            <w:tcW w:w="980" w:type="dxa"/>
            <w:tcBorders>
              <w:top w:val="single" w:sz="12" w:space="0" w:color="00B050"/>
              <w:left w:val="single" w:sz="48" w:space="0" w:color="00B050"/>
              <w:bottom w:val="single" w:sz="48" w:space="0" w:color="00B050"/>
              <w:right w:val="nil"/>
            </w:tcBorders>
            <w:shd w:val="solid" w:color="FFFFFF" w:fill="FF0000"/>
          </w:tcPr>
          <w:p w:rsidR="00C575F6" w:rsidRDefault="00C575F6" w:rsidP="008271F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0" w:type="dxa"/>
            <w:gridSpan w:val="4"/>
            <w:tcBorders>
              <w:top w:val="single" w:sz="12" w:space="0" w:color="00B050"/>
              <w:left w:val="nil"/>
              <w:bottom w:val="single" w:sz="48" w:space="0" w:color="00B050"/>
              <w:right w:val="single" w:sz="48" w:space="0" w:color="00B050"/>
            </w:tcBorders>
            <w:shd w:val="solid" w:color="FFFFFF" w:fill="FF0000"/>
          </w:tcPr>
          <w:p w:rsidR="00C575F6" w:rsidRPr="00145817" w:rsidRDefault="00C575F6" w:rsidP="00145817">
            <w:pPr>
              <w:pStyle w:val="Listenabsatz"/>
              <w:numPr>
                <w:ilvl w:val="0"/>
                <w:numId w:val="4"/>
              </w:numPr>
              <w:spacing w:after="60"/>
              <w:rPr>
                <w:sz w:val="20"/>
              </w:rPr>
            </w:pPr>
            <w:r w:rsidRPr="00145817">
              <w:rPr>
                <w:sz w:val="20"/>
              </w:rPr>
              <w:t xml:space="preserve">Kontaminierte Einwegschutzkleidung und entfernten Kot in fest verschließbaren, dichten Sammelbehältern entsorgen. Die Behälter mit dem Hinweis „Biogefährdung“ kennzeichnen. Entsorgung mit der zuständigen Behörde (Kommune, Stadt oder Entsorgungsbetrieb) klären. </w:t>
            </w:r>
          </w:p>
        </w:tc>
      </w:tr>
    </w:tbl>
    <w:p w:rsidR="0094747C" w:rsidRDefault="0094747C" w:rsidP="00C575F6"/>
    <w:sectPr w:rsidR="0094747C" w:rsidSect="000C2D00">
      <w:footerReference w:type="default" r:id="rId24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Pr="0070141D" w:rsidRDefault="00112BD1" w:rsidP="00112BD1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E3026A">
      <w:rPr>
        <w:noProof/>
        <w:sz w:val="18"/>
        <w:szCs w:val="18"/>
      </w:rPr>
      <w:t>5202_FB_BA_Taubenkot_Version 1.0_2019-12-12.docx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773088"/>
    <w:multiLevelType w:val="singleLevel"/>
    <w:tmpl w:val="0407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EB48AC"/>
    <w:multiLevelType w:val="hybridMultilevel"/>
    <w:tmpl w:val="57DAD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B74E3"/>
    <w:rsid w:val="000C2D00"/>
    <w:rsid w:val="000F12A5"/>
    <w:rsid w:val="00112BD1"/>
    <w:rsid w:val="00145817"/>
    <w:rsid w:val="00145DC3"/>
    <w:rsid w:val="00194D4A"/>
    <w:rsid w:val="00233C94"/>
    <w:rsid w:val="002D0A74"/>
    <w:rsid w:val="003C125D"/>
    <w:rsid w:val="005B4F92"/>
    <w:rsid w:val="00671CB1"/>
    <w:rsid w:val="0070141D"/>
    <w:rsid w:val="0072576F"/>
    <w:rsid w:val="00762DCD"/>
    <w:rsid w:val="00896A61"/>
    <w:rsid w:val="0094747C"/>
    <w:rsid w:val="009544F3"/>
    <w:rsid w:val="009707CB"/>
    <w:rsid w:val="009D2C87"/>
    <w:rsid w:val="00AA4547"/>
    <w:rsid w:val="00B53416"/>
    <w:rsid w:val="00B97AA8"/>
    <w:rsid w:val="00C575F6"/>
    <w:rsid w:val="00D3586E"/>
    <w:rsid w:val="00D5191F"/>
    <w:rsid w:val="00E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4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ghm.de/fileadmin/_processed_/8/0/csm_P022_Essen_und_Trinken_verboten_820f95c06d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ghm.de/fileadmin/_processed_/3/3/csm_M010_Schutzkleidung_benutzen_eb1a81b432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ghm.de/fileadmin/_processed_/f/8/csm_GHS_01_gr_3b67dd0fb6.gi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10" Type="http://schemas.openxmlformats.org/officeDocument/2006/relationships/image" Target="media/image2.gif"/><Relationship Id="rId19" Type="http://schemas.openxmlformats.org/officeDocument/2006/relationships/hyperlink" Target="https://www.bghm.de/fileadmin/_processed_/f/1/csm_P003_Keine_offene_Flamme_f04e237beb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hm.de/fileadmin/_processed_/0/c/csm_GHS_05_gr_945844abd8.gif" TargetMode="External"/><Relationship Id="rId14" Type="http://schemas.openxmlformats.org/officeDocument/2006/relationships/hyperlink" Target="https://www.bghm.de/fileadmin/_processed_/7/5/csm_M017_Atemschutz_benutzen_6f9c002170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3C75-9F25-438C-A0DA-FC20A4EE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Ruschke, Michele - 21613 Personalentwicklung</cp:lastModifiedBy>
  <cp:revision>7</cp:revision>
  <cp:lastPrinted>2020-07-08T05:42:00Z</cp:lastPrinted>
  <dcterms:created xsi:type="dcterms:W3CDTF">2019-12-12T10:35:00Z</dcterms:created>
  <dcterms:modified xsi:type="dcterms:W3CDTF">2020-07-08T06:01:00Z</dcterms:modified>
</cp:coreProperties>
</file>