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141"/>
        <w:gridCol w:w="21"/>
        <w:gridCol w:w="1446"/>
        <w:gridCol w:w="1442"/>
      </w:tblGrid>
      <w:tr w:rsidR="00AA16CD" w:rsidTr="00E86D80">
        <w:trPr>
          <w:gridAfter w:val="3"/>
          <w:wAfter w:w="2909" w:type="dxa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40000" cy="327600"/>
                  <wp:effectExtent l="0" t="0" r="3175" b="0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3F2E2B" w:rsidRDefault="00E52B05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3F2E2B">
              <w:rPr>
                <w:sz w:val="22"/>
              </w:rPr>
              <w:t>-</w:t>
            </w:r>
          </w:p>
          <w:p w:rsidR="00AA16CD" w:rsidRDefault="00E52B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647935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A501C1" w:rsidTr="00E86D80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61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E86D80">
        <w:tblPrEx>
          <w:tblCellMar>
            <w:left w:w="71" w:type="dxa"/>
            <w:right w:w="71" w:type="dxa"/>
          </w:tblCellMar>
        </w:tblPrEx>
        <w:trPr>
          <w:gridAfter w:val="3"/>
          <w:wAfter w:w="2909" w:type="dxa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BB6A99" w:rsidP="00A501C1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Fahrrad</w:t>
            </w:r>
          </w:p>
        </w:tc>
        <w:tc>
          <w:tcPr>
            <w:tcW w:w="4619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BB6A99">
            <w:pPr>
              <w:pStyle w:val="berschrift1"/>
              <w:rPr>
                <w:b w:val="0"/>
                <w:sz w:val="28"/>
                <w:szCs w:val="28"/>
              </w:rPr>
            </w:pPr>
            <w:r w:rsidRPr="00BB6A99">
              <w:rPr>
                <w:b w:val="0"/>
                <w:sz w:val="28"/>
                <w:szCs w:val="28"/>
              </w:rPr>
              <w:t>Fahren mit Fahrrädern aller Ar</w:t>
            </w:r>
          </w:p>
        </w:tc>
      </w:tr>
      <w:tr w:rsidR="00AA16CD" w:rsidTr="00E86D80"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BB6A9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inline distT="0" distB="0" distL="0" distR="0" wp14:anchorId="4175896A" wp14:editId="55258F48">
                  <wp:extent cx="632460" cy="548640"/>
                  <wp:effectExtent l="0" t="0" r="0" b="3810"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BB6A99" w:rsidRDefault="00BB6A99" w:rsidP="00BB6A99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BB6A99">
              <w:rPr>
                <w:color w:val="000000"/>
                <w:sz w:val="20"/>
              </w:rPr>
              <w:t>Verkehrsunfälle (mit und ohne Fremdbeteiligung) und zuziehen schwerster</w:t>
            </w:r>
            <w:r>
              <w:rPr>
                <w:color w:val="000000"/>
                <w:sz w:val="20"/>
              </w:rPr>
              <w:t xml:space="preserve"> Körper- und Kopfverletzungen.</w:t>
            </w:r>
          </w:p>
          <w:p w:rsidR="00BB6A99" w:rsidRDefault="00BB6A99" w:rsidP="00BB6A99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BB6A99">
              <w:rPr>
                <w:color w:val="000000"/>
                <w:sz w:val="20"/>
              </w:rPr>
              <w:t>Stürze auf nasser und glatter Fahrbahn und Zuziehen von Brüchen, Verstauchungen, Prellungen, Schnittverletzungen, Hautabschürfungen, inneren Verletzungen</w:t>
            </w:r>
            <w:r>
              <w:rPr>
                <w:color w:val="000000"/>
                <w:sz w:val="20"/>
              </w:rPr>
              <w:t xml:space="preserve">.  </w:t>
            </w:r>
          </w:p>
          <w:p w:rsidR="00BB6A99" w:rsidRDefault="00BB6A99" w:rsidP="00BB6A99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BB6A99">
              <w:rPr>
                <w:color w:val="000000"/>
                <w:sz w:val="20"/>
              </w:rPr>
              <w:t>Stürzen bei zu hoher Geschwindi</w:t>
            </w:r>
            <w:r>
              <w:rPr>
                <w:color w:val="000000"/>
                <w:sz w:val="20"/>
              </w:rPr>
              <w:t xml:space="preserve">gkeit und in scharfen Kurven. </w:t>
            </w:r>
          </w:p>
          <w:p w:rsidR="00BB6A99" w:rsidRDefault="00BB6A99" w:rsidP="00BB6A99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BB6A99">
              <w:rPr>
                <w:color w:val="000000"/>
                <w:sz w:val="20"/>
              </w:rPr>
              <w:t xml:space="preserve">Stürzen durch in die Speichen kommende Gegenstände und Einzug von </w:t>
            </w:r>
            <w:r>
              <w:rPr>
                <w:color w:val="000000"/>
                <w:sz w:val="20"/>
              </w:rPr>
              <w:t xml:space="preserve">Kleidung in die Fahrradkette. </w:t>
            </w:r>
          </w:p>
          <w:p w:rsidR="00BB6A99" w:rsidRDefault="00BB6A99" w:rsidP="00BB6A99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BB6A99">
              <w:rPr>
                <w:color w:val="000000"/>
                <w:sz w:val="20"/>
              </w:rPr>
              <w:t>Stürzen durch Mängel am Fahrrad, besonders bei defekten</w:t>
            </w:r>
            <w:r>
              <w:rPr>
                <w:color w:val="000000"/>
                <w:sz w:val="20"/>
              </w:rPr>
              <w:t xml:space="preserve"> Bremsen und losen Schrauben. </w:t>
            </w:r>
          </w:p>
          <w:p w:rsidR="00BB6A99" w:rsidRDefault="00BB6A99" w:rsidP="00BB6A99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BB6A99">
              <w:rPr>
                <w:color w:val="000000"/>
                <w:sz w:val="20"/>
              </w:rPr>
              <w:t>Ausrutschen und Stürzen beim Auf- und Abste</w:t>
            </w:r>
            <w:r>
              <w:rPr>
                <w:color w:val="000000"/>
                <w:sz w:val="20"/>
              </w:rPr>
              <w:t xml:space="preserve">igen bei Schnee und Glatteis. </w:t>
            </w:r>
          </w:p>
          <w:p w:rsidR="00BB6A99" w:rsidRPr="00431DCB" w:rsidRDefault="00BB6A99" w:rsidP="00BB6A99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BB6A99">
              <w:rPr>
                <w:color w:val="000000"/>
                <w:sz w:val="20"/>
              </w:rPr>
              <w:t>Unfälle durch ungenügende Aufmerksamkeit beim Fahren.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E86D80"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8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8A0015" w:rsidRDefault="008A0015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1878330</wp:posOffset>
                  </wp:positionV>
                  <wp:extent cx="82677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903" y="21109"/>
                      <wp:lineTo x="20903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923290</wp:posOffset>
                  </wp:positionV>
                  <wp:extent cx="802800" cy="80280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019" y="21019"/>
                      <wp:lineTo x="21019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78105</wp:posOffset>
                  </wp:positionV>
                  <wp:extent cx="687600" cy="687600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0961" y="20961"/>
                      <wp:lineTo x="2096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6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015" w:rsidRPr="008A0015" w:rsidRDefault="008A0015" w:rsidP="008A0015">
            <w:pPr>
              <w:rPr>
                <w:sz w:val="22"/>
              </w:rPr>
            </w:pPr>
          </w:p>
          <w:p w:rsidR="008A0015" w:rsidRPr="008A0015" w:rsidRDefault="008A0015" w:rsidP="008A0015">
            <w:pPr>
              <w:rPr>
                <w:sz w:val="22"/>
              </w:rPr>
            </w:pPr>
          </w:p>
          <w:p w:rsidR="008A0015" w:rsidRDefault="008A0015" w:rsidP="008A0015">
            <w:pPr>
              <w:rPr>
                <w:sz w:val="22"/>
              </w:rPr>
            </w:pPr>
          </w:p>
          <w:p w:rsidR="00AA16CD" w:rsidRPr="008A0015" w:rsidRDefault="00AA16CD" w:rsidP="008A0015">
            <w:pPr>
              <w:jc w:val="center"/>
              <w:rPr>
                <w:sz w:val="22"/>
              </w:rPr>
            </w:pP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BB6A9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Beachten Sie die Bedienungsanleitung und halten</w:t>
            </w:r>
            <w:r>
              <w:rPr>
                <w:sz w:val="20"/>
              </w:rPr>
              <w:t xml:space="preserve"> Sie diese ein.  </w:t>
            </w:r>
          </w:p>
          <w:p w:rsidR="00BB6A9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 xml:space="preserve">Bei Fahrantritt ist immer eine augenscheinliche Sichtkontrolle am Fahrrad auf eventuell vorhandene Mängel </w:t>
            </w:r>
            <w:r w:rsidR="008A0015" w:rsidRPr="00BB6A99">
              <w:rPr>
                <w:sz w:val="20"/>
              </w:rPr>
              <w:t>hindurchzuführen</w:t>
            </w:r>
            <w:r>
              <w:rPr>
                <w:sz w:val="20"/>
              </w:rPr>
              <w:t xml:space="preserve">. Kontrollieren Sie dabei: 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Funktionsfähigkeit zweier unabhängig voneinander wirkende Bremsen (Bowdenzüge    leichtgängig und am Ende nicht ausgefranst, frühzeitiges Ansprechen der Bremsen, Bremsbelege müssen korrekt montiert sein und dürfen nicht an Felg</w:t>
            </w:r>
            <w:r>
              <w:rPr>
                <w:sz w:val="20"/>
              </w:rPr>
              <w:t>e oder Reifen schleifen).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Schaltung, Fahrradkette und Zahnkränze (Gänge müssen sauber einrasten, Kette muss leicht</w:t>
            </w:r>
            <w:r>
              <w:rPr>
                <w:sz w:val="20"/>
              </w:rPr>
              <w:t xml:space="preserve"> </w:t>
            </w:r>
            <w:r w:rsidRPr="00BB6A99">
              <w:rPr>
                <w:sz w:val="20"/>
              </w:rPr>
              <w:t>geölt sein und darf beim Schalten nicht rattern, Kettenspannun</w:t>
            </w:r>
            <w:r>
              <w:rPr>
                <w:sz w:val="20"/>
              </w:rPr>
              <w:t>g, Verschleißerscheinungen).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Genügend Reifenprofil, keine Risse in den Rei</w:t>
            </w:r>
            <w:r>
              <w:rPr>
                <w:sz w:val="20"/>
              </w:rPr>
              <w:t>fenflanken und Laufflächen.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Die Reifen müssen den auf der Seitenflanke der Reifen angegebe</w:t>
            </w:r>
            <w:r>
              <w:rPr>
                <w:sz w:val="20"/>
              </w:rPr>
              <w:t>nen Luftdruck haben.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Felgen dürfen keine Dellen, keinen Seitenschlag und k</w:t>
            </w:r>
            <w:r>
              <w:rPr>
                <w:sz w:val="20"/>
              </w:rPr>
              <w:t>einen Höhenschlag aufweisen.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 xml:space="preserve">Naben </w:t>
            </w:r>
            <w:r>
              <w:rPr>
                <w:sz w:val="20"/>
              </w:rPr>
              <w:t>sollten leichtgängig laufen.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Kein</w:t>
            </w:r>
            <w:r>
              <w:rPr>
                <w:sz w:val="20"/>
              </w:rPr>
              <w:t>e Speiche darf locker sein.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Frontscheinwerfer und Rüc</w:t>
            </w:r>
            <w:r>
              <w:rPr>
                <w:sz w:val="20"/>
              </w:rPr>
              <w:t>klicht müssen funktionieren.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Alle Teile der Beleuchtungsanlage</w:t>
            </w:r>
            <w:r>
              <w:rPr>
                <w:sz w:val="20"/>
              </w:rPr>
              <w:t xml:space="preserve"> müssen fest montiert sein.</w:t>
            </w:r>
          </w:p>
          <w:p w:rsidR="00BB6A99" w:rsidRDefault="00BB6A99" w:rsidP="008A0015">
            <w:pPr>
              <w:numPr>
                <w:ilvl w:val="0"/>
                <w:numId w:val="26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Der Dynamo darf bei Nässe nicht durchrutschen und muss korrekt au</w:t>
            </w:r>
            <w:r>
              <w:rPr>
                <w:sz w:val="20"/>
              </w:rPr>
              <w:t>f der Seitenflanke sitzen.</w:t>
            </w:r>
          </w:p>
          <w:p w:rsidR="00BB6A9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Benöti</w:t>
            </w:r>
            <w:r>
              <w:rPr>
                <w:sz w:val="20"/>
              </w:rPr>
              <w:t>gen Sie eine Sehhilfe, sind Sie</w:t>
            </w:r>
            <w:r w:rsidRPr="00BB6A99">
              <w:rPr>
                <w:sz w:val="20"/>
              </w:rPr>
              <w:t xml:space="preserve"> verpflichtet,</w:t>
            </w:r>
            <w:r>
              <w:rPr>
                <w:sz w:val="20"/>
              </w:rPr>
              <w:t xml:space="preserve"> diese beim Fahren zu tragen.</w:t>
            </w:r>
          </w:p>
          <w:p w:rsidR="00BB6A9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Tragen Sie fest anliegende Schuhe mit steifer Sohle und geei</w:t>
            </w:r>
            <w:r>
              <w:rPr>
                <w:sz w:val="20"/>
              </w:rPr>
              <w:t>gnete enganliegende Kleidung.</w:t>
            </w:r>
          </w:p>
          <w:p w:rsidR="00BB6A9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Eine Radbrille schützt gegen Staub, Insekten und Verletzungen der Augen</w:t>
            </w:r>
            <w:r>
              <w:rPr>
                <w:sz w:val="20"/>
              </w:rPr>
              <w:t>, sowie gegen Sonnenblendung.</w:t>
            </w:r>
          </w:p>
          <w:p w:rsidR="00BB6A9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Um Kopfverletzungen bei einem Sturz zu vermeiden, tragen Sie einen gut sitzenden und geeigneten Helm.</w:t>
            </w:r>
            <w:r>
              <w:rPr>
                <w:sz w:val="20"/>
              </w:rPr>
              <w:t xml:space="preserve"> </w:t>
            </w:r>
            <w:r w:rsidRPr="00BB6A99">
              <w:rPr>
                <w:sz w:val="20"/>
              </w:rPr>
              <w:t>Der Helm muss waagerecht auf dem Kopf sitzen, darf nicht drücken aber auch nicht wackeln und muss so fest sitzen, dass er beim Sturz nic</w:t>
            </w:r>
            <w:r>
              <w:rPr>
                <w:sz w:val="20"/>
              </w:rPr>
              <w:t>ht vom Kopf gestreift wird.</w:t>
            </w:r>
          </w:p>
          <w:p w:rsidR="00BB6A9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 xml:space="preserve">Für den Transport von Materialien mit dem Fahrrad ist ein Fahrradrucksack </w:t>
            </w:r>
            <w:r>
              <w:rPr>
                <w:sz w:val="20"/>
              </w:rPr>
              <w:t>geeignet.</w:t>
            </w:r>
          </w:p>
          <w:p w:rsidR="00BB6A9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Hängen Sie keine Lasten, wie Einkaufstüten oder Aktent</w:t>
            </w:r>
            <w:r w:rsidR="008A0015">
              <w:rPr>
                <w:sz w:val="20"/>
              </w:rPr>
              <w:t xml:space="preserve">aschen </w:t>
            </w:r>
            <w:r>
              <w:rPr>
                <w:sz w:val="20"/>
              </w:rPr>
              <w:t>an den Fahrradlenker.</w:t>
            </w:r>
          </w:p>
          <w:p w:rsidR="0090216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lastRenderedPageBreak/>
              <w:t xml:space="preserve">Die festgelegte Belastung des Fahrrades darf nicht überschritten werden. Bei zwei vorhandenen Gepäckträgern sollte ein Drittel der zu transportierenden Last nur auf den Vorderradgepäckträger geladen werden. Die Last darf die </w:t>
            </w:r>
            <w:r w:rsidR="00902169">
              <w:rPr>
                <w:sz w:val="20"/>
              </w:rPr>
              <w:t xml:space="preserve">Beleuchtung nicht verdecken. </w:t>
            </w:r>
          </w:p>
          <w:p w:rsidR="00902169" w:rsidRDefault="00BB6A99" w:rsidP="00BB6A9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Bei Vorhandensein von zwei Gepäcktaschen ist die Last wegen dem Schwerp</w:t>
            </w:r>
            <w:r w:rsidR="00902169">
              <w:rPr>
                <w:sz w:val="20"/>
              </w:rPr>
              <w:t>unkt gleichmäßig zu verteilen.</w:t>
            </w:r>
          </w:p>
          <w:p w:rsid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BB6A99">
              <w:rPr>
                <w:sz w:val="20"/>
              </w:rPr>
              <w:t>Beim Fahrradfahren ist eine defensive Fahrweise geboten. Die Straßenverkehr</w:t>
            </w:r>
            <w:r w:rsidR="00902169">
              <w:rPr>
                <w:sz w:val="20"/>
              </w:rPr>
              <w:t>s</w:t>
            </w:r>
            <w:r w:rsidRPr="00BB6A99">
              <w:rPr>
                <w:sz w:val="20"/>
              </w:rPr>
              <w:t xml:space="preserve">ordnung, die auch in Betrieben </w:t>
            </w:r>
            <w:r w:rsidR="00902169">
              <w:rPr>
                <w:sz w:val="20"/>
              </w:rPr>
              <w:t>gilt, ist immer einzuhalten.</w:t>
            </w:r>
          </w:p>
          <w:p w:rsid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02169">
              <w:rPr>
                <w:sz w:val="20"/>
              </w:rPr>
              <w:t>Beim Richtungswechsel geben Sie rechtzeitig u</w:t>
            </w:r>
            <w:r w:rsidR="00902169">
              <w:rPr>
                <w:sz w:val="20"/>
              </w:rPr>
              <w:t>nd eindeutig ein Handzeichen.</w:t>
            </w:r>
          </w:p>
          <w:p w:rsid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02169">
              <w:rPr>
                <w:sz w:val="20"/>
              </w:rPr>
              <w:t>Um vor nicht einsehbaren Einfahrten und Kurven bemerkt zu werden, ist die Klingel zu b</w:t>
            </w:r>
            <w:r w:rsidR="00902169">
              <w:rPr>
                <w:sz w:val="20"/>
              </w:rPr>
              <w:t>etätigen.</w:t>
            </w:r>
          </w:p>
          <w:p w:rsid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02169">
              <w:rPr>
                <w:sz w:val="20"/>
              </w:rPr>
              <w:t>Fahren Sie möglichst nicht durch Glasscherben, Näg</w:t>
            </w:r>
            <w:r w:rsidR="00902169">
              <w:rPr>
                <w:sz w:val="20"/>
              </w:rPr>
              <w:t>el und scharfkantigen Splitt.</w:t>
            </w:r>
          </w:p>
          <w:p w:rsid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02169">
              <w:rPr>
                <w:sz w:val="20"/>
              </w:rPr>
              <w:t>Beim Durchfahren scharfer Kurven und starkem Einschlagen des Lenkers</w:t>
            </w:r>
            <w:r w:rsidR="008A0015">
              <w:rPr>
                <w:sz w:val="20"/>
              </w:rPr>
              <w:t xml:space="preserve"> nicht in die </w:t>
            </w:r>
            <w:r w:rsidR="00902169">
              <w:rPr>
                <w:sz w:val="20"/>
              </w:rPr>
              <w:t>Pedalen treten.</w:t>
            </w:r>
          </w:p>
          <w:p w:rsid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02169">
              <w:rPr>
                <w:sz w:val="20"/>
              </w:rPr>
              <w:t>Zum Bremsen möglich</w:t>
            </w:r>
            <w:r w:rsidR="00902169">
              <w:rPr>
                <w:sz w:val="20"/>
              </w:rPr>
              <w:t>s</w:t>
            </w:r>
            <w:r w:rsidRPr="00902169">
              <w:rPr>
                <w:sz w:val="20"/>
              </w:rPr>
              <w:t>t beide Bremsen gleichzeitig benutzen und n</w:t>
            </w:r>
            <w:r w:rsidR="00902169">
              <w:rPr>
                <w:sz w:val="20"/>
              </w:rPr>
              <w:t>icht die Vorderradbremse zu</w:t>
            </w:r>
            <w:r w:rsidRPr="00902169">
              <w:rPr>
                <w:sz w:val="20"/>
              </w:rPr>
              <w:t>erst,</w:t>
            </w:r>
            <w:r w:rsidR="00902169">
              <w:rPr>
                <w:sz w:val="20"/>
              </w:rPr>
              <w:t xml:space="preserve"> besonders bei Bergabfahrten.</w:t>
            </w:r>
          </w:p>
          <w:p w:rsid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02169">
              <w:rPr>
                <w:sz w:val="20"/>
              </w:rPr>
              <w:t>Keine weiteren Perso</w:t>
            </w:r>
            <w:r w:rsidR="00902169">
              <w:rPr>
                <w:sz w:val="20"/>
              </w:rPr>
              <w:t>nen auf dem Fahrrad mitnehmen.</w:t>
            </w:r>
          </w:p>
          <w:p w:rsid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02169">
              <w:rPr>
                <w:sz w:val="20"/>
              </w:rPr>
              <w:t>Beim Abstellen des Fahrrades ist darauf zu achten, dass es nicht umstürzen oder u</w:t>
            </w:r>
            <w:r w:rsidR="00902169">
              <w:rPr>
                <w:sz w:val="20"/>
              </w:rPr>
              <w:t>nbeabsichtigt wegrollen kann.</w:t>
            </w:r>
          </w:p>
          <w:p w:rsid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02169">
              <w:rPr>
                <w:sz w:val="20"/>
              </w:rPr>
              <w:t>Das Fahrrad darf nicht auf Transport-, Flucht- und Rett</w:t>
            </w:r>
            <w:r w:rsidR="00902169">
              <w:rPr>
                <w:sz w:val="20"/>
              </w:rPr>
              <w:t>ungswegen abgestellt werden.</w:t>
            </w:r>
          </w:p>
          <w:p w:rsidR="00AA16CD" w:rsidRPr="00902169" w:rsidRDefault="00BB6A99" w:rsidP="00902169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902169">
              <w:rPr>
                <w:sz w:val="20"/>
              </w:rPr>
              <w:t>Der Genuss von Drogen und Alkohol vor und während der Fahrt ist verboten, ebenso das Telefonieren mit</w:t>
            </w:r>
            <w:r w:rsidR="00902169">
              <w:rPr>
                <w:sz w:val="20"/>
              </w:rPr>
              <w:t xml:space="preserve"> </w:t>
            </w:r>
            <w:r w:rsidRPr="00902169">
              <w:rPr>
                <w:sz w:val="20"/>
              </w:rPr>
              <w:t>Mobilgeräten</w:t>
            </w:r>
          </w:p>
        </w:tc>
        <w:tc>
          <w:tcPr>
            <w:tcW w:w="162" w:type="dxa"/>
            <w:gridSpan w:val="2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E86D80"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Pr="00431DCB" w:rsidRDefault="008A0015" w:rsidP="008A0015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Werden Mängel festgestellt </w:t>
            </w:r>
            <w:r w:rsidRPr="008A0015">
              <w:rPr>
                <w:sz w:val="20"/>
              </w:rPr>
              <w:t>darf mit dem Fahrrad nicht gefahren werden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E86D80">
        <w:trPr>
          <w:trHeight w:val="405"/>
        </w:trPr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E3090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1306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E3090D" w:rsidRPr="00431DCB" w:rsidRDefault="00E3090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1306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1306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AA16CD" w:rsidRDefault="00E3090D" w:rsidP="00431DC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E52B05" w:rsidRPr="00E3090D" w:rsidRDefault="00E3090D" w:rsidP="00E3090D">
            <w:pPr>
              <w:pStyle w:val="Listenabsatz"/>
              <w:numPr>
                <w:ilvl w:val="0"/>
                <w:numId w:val="23"/>
              </w:numPr>
              <w:spacing w:after="60"/>
              <w:rPr>
                <w:sz w:val="22"/>
                <w:szCs w:val="22"/>
              </w:rPr>
            </w:pPr>
            <w:r w:rsidRPr="00E3090D">
              <w:rPr>
                <w:sz w:val="20"/>
              </w:rPr>
              <w:t>Unfall de</w:t>
            </w:r>
            <w:r w:rsidR="0031306A">
              <w:rPr>
                <w:sz w:val="20"/>
              </w:rPr>
              <w:t>r/dem</w:t>
            </w:r>
            <w:r w:rsidRPr="00E3090D">
              <w:rPr>
                <w:sz w:val="20"/>
              </w:rPr>
              <w:t xml:space="preserve"> nächsten Vorgesetzte</w:t>
            </w:r>
            <w:r w:rsidR="0031306A">
              <w:rPr>
                <w:sz w:val="20"/>
              </w:rPr>
              <w:t>/</w:t>
            </w:r>
            <w:r w:rsidRPr="00E3090D">
              <w:rPr>
                <w:sz w:val="20"/>
              </w:rPr>
              <w:t>n melden und Verletzung im Verband</w:t>
            </w:r>
            <w:r w:rsidR="0031306A">
              <w:rPr>
                <w:sz w:val="20"/>
              </w:rPr>
              <w:t>block</w:t>
            </w:r>
            <w:r w:rsidRPr="00E3090D">
              <w:rPr>
                <w:sz w:val="20"/>
              </w:rPr>
              <w:t xml:space="preserve"> eintragen.</w:t>
            </w:r>
          </w:p>
          <w:p w:rsidR="00E3090D" w:rsidRPr="00E3090D" w:rsidRDefault="00E3090D" w:rsidP="00E3090D">
            <w:pPr>
              <w:pStyle w:val="Listenabsatz"/>
              <w:spacing w:after="60"/>
              <w:ind w:left="360"/>
              <w:rPr>
                <w:sz w:val="22"/>
                <w:szCs w:val="22"/>
              </w:rPr>
            </w:pPr>
          </w:p>
          <w:p w:rsidR="00AA16CD" w:rsidRPr="00431DCB" w:rsidRDefault="00E52B05" w:rsidP="00580D06">
            <w:pPr>
              <w:tabs>
                <w:tab w:val="left" w:pos="264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</w:t>
            </w:r>
            <w:r w:rsidR="000F3504">
              <w:rPr>
                <w:b/>
                <w:color w:val="008000"/>
                <w:sz w:val="32"/>
                <w:szCs w:val="32"/>
              </w:rPr>
              <w:t>/in</w:t>
            </w:r>
            <w:r w:rsidRPr="00431DCB">
              <w:rPr>
                <w:b/>
                <w:color w:val="008000"/>
                <w:sz w:val="32"/>
                <w:szCs w:val="32"/>
              </w:rPr>
              <w:t>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E86D80">
        <w:trPr>
          <w:trHeight w:val="413"/>
        </w:trPr>
        <w:tc>
          <w:tcPr>
            <w:tcW w:w="9923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E86D80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517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AA16CD" w:rsidRPr="00431DCB" w:rsidRDefault="00121FAD" w:rsidP="00121FAD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Angaben zu Wartung und Pflege entnehmen Sie bitte der </w:t>
            </w:r>
            <w:r w:rsidRPr="00121FAD">
              <w:rPr>
                <w:sz w:val="20"/>
              </w:rPr>
              <w:t>B</w:t>
            </w:r>
            <w:r>
              <w:rPr>
                <w:sz w:val="20"/>
              </w:rPr>
              <w:t>edienungsanleitung des Fahrrades</w:t>
            </w:r>
            <w:r w:rsidR="00AA16CD" w:rsidRPr="00431DCB">
              <w:rPr>
                <w:sz w:val="20"/>
              </w:rPr>
              <w:t>.</w:t>
            </w:r>
          </w:p>
          <w:p w:rsidR="00AA16CD" w:rsidRDefault="00121FAD" w:rsidP="00121FAD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121FAD">
              <w:rPr>
                <w:sz w:val="20"/>
              </w:rPr>
              <w:t>Herstellerangaben: C</w:t>
            </w:r>
            <w:r>
              <w:rPr>
                <w:sz w:val="20"/>
              </w:rPr>
              <w:t xml:space="preserve">heckliste für die Überprüfung (Prüfpunkte) sowie </w:t>
            </w:r>
            <w:r w:rsidRPr="00121FAD">
              <w:rPr>
                <w:sz w:val="20"/>
              </w:rPr>
              <w:t>Angaben für die Zeit</w:t>
            </w:r>
            <w:r>
              <w:rPr>
                <w:sz w:val="20"/>
              </w:rPr>
              <w:t>abstände (z.B. „alle 1.000 km b</w:t>
            </w:r>
            <w:r w:rsidRPr="00121FAD">
              <w:rPr>
                <w:sz w:val="20"/>
              </w:rPr>
              <w:t>zw. jährlich“).</w:t>
            </w:r>
          </w:p>
          <w:p w:rsidR="00121FAD" w:rsidRPr="00121FAD" w:rsidRDefault="00121FAD" w:rsidP="00121FAD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121FAD">
              <w:rPr>
                <w:sz w:val="20"/>
              </w:rPr>
              <w:t>Generelle ADFC-Empfehlung</w:t>
            </w:r>
            <w:r>
              <w:rPr>
                <w:sz w:val="20"/>
              </w:rPr>
              <w:t xml:space="preserve"> zur Prüfung: regelmäßig – mindestens </w:t>
            </w:r>
            <w:r w:rsidRPr="00121FAD">
              <w:rPr>
                <w:sz w:val="20"/>
              </w:rPr>
              <w:t>jährli</w:t>
            </w:r>
            <w:r>
              <w:rPr>
                <w:sz w:val="20"/>
              </w:rPr>
              <w:t>ch</w:t>
            </w:r>
            <w:bookmarkStart w:id="0" w:name="_GoBack"/>
            <w:bookmarkEnd w:id="0"/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E3090D">
      <w:pPr>
        <w:rPr>
          <w:rFonts w:ascii="Times New Roman" w:hAnsi="Times New Roman"/>
        </w:rPr>
      </w:pPr>
    </w:p>
    <w:sectPr w:rsidR="00AA16CD">
      <w:footerReference w:type="default" r:id="rId14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53" w:rsidRPr="00EF2ECF" w:rsidRDefault="00A60A53" w:rsidP="008D1DD4">
    <w:pPr>
      <w:pStyle w:val="Fuzeile"/>
      <w:rPr>
        <w:sz w:val="16"/>
        <w:szCs w:val="16"/>
      </w:rPr>
    </w:pPr>
    <w:r w:rsidRPr="00EF2ECF">
      <w:rPr>
        <w:sz w:val="16"/>
        <w:szCs w:val="16"/>
      </w:rPr>
      <w:fldChar w:fldCharType="begin"/>
    </w:r>
    <w:r w:rsidRPr="00EF2ECF">
      <w:rPr>
        <w:sz w:val="16"/>
        <w:szCs w:val="16"/>
      </w:rPr>
      <w:instrText xml:space="preserve"> FILENAME \* MERGEFORMAT </w:instrText>
    </w:r>
    <w:r w:rsidRPr="00EF2ECF">
      <w:rPr>
        <w:sz w:val="16"/>
        <w:szCs w:val="16"/>
      </w:rPr>
      <w:fldChar w:fldCharType="separate"/>
    </w:r>
    <w:r w:rsidR="00902169">
      <w:rPr>
        <w:noProof/>
        <w:sz w:val="16"/>
        <w:szCs w:val="16"/>
      </w:rPr>
      <w:t>5404_FB_BA_Fahrrad_Version 1.0_2020-29-06.docx</w:t>
    </w:r>
    <w:r w:rsidRPr="00EF2EC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9442273E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613A7"/>
    <w:multiLevelType w:val="hybridMultilevel"/>
    <w:tmpl w:val="44665E6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12"/>
  </w:num>
  <w:num w:numId="5">
    <w:abstractNumId w:val="9"/>
  </w:num>
  <w:num w:numId="6">
    <w:abstractNumId w:val="4"/>
  </w:num>
  <w:num w:numId="7">
    <w:abstractNumId w:val="24"/>
  </w:num>
  <w:num w:numId="8">
    <w:abstractNumId w:val="15"/>
  </w:num>
  <w:num w:numId="9">
    <w:abstractNumId w:val="22"/>
  </w:num>
  <w:num w:numId="10">
    <w:abstractNumId w:val="20"/>
  </w:num>
  <w:num w:numId="11">
    <w:abstractNumId w:val="23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16"/>
  </w:num>
  <w:num w:numId="17">
    <w:abstractNumId w:val="17"/>
  </w:num>
  <w:num w:numId="18">
    <w:abstractNumId w:val="10"/>
  </w:num>
  <w:num w:numId="19">
    <w:abstractNumId w:val="0"/>
  </w:num>
  <w:num w:numId="20">
    <w:abstractNumId w:val="13"/>
  </w:num>
  <w:num w:numId="21">
    <w:abstractNumId w:val="21"/>
  </w:num>
  <w:num w:numId="22">
    <w:abstractNumId w:val="5"/>
  </w:num>
  <w:num w:numId="23">
    <w:abstractNumId w:val="2"/>
  </w:num>
  <w:num w:numId="24">
    <w:abstractNumId w:val="14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A2CC0"/>
    <w:rsid w:val="000F3504"/>
    <w:rsid w:val="001168C9"/>
    <w:rsid w:val="00121FAD"/>
    <w:rsid w:val="00214735"/>
    <w:rsid w:val="0031306A"/>
    <w:rsid w:val="003F2E2B"/>
    <w:rsid w:val="00431DCB"/>
    <w:rsid w:val="004B5721"/>
    <w:rsid w:val="00532F8D"/>
    <w:rsid w:val="00580D06"/>
    <w:rsid w:val="00647935"/>
    <w:rsid w:val="006D0DAF"/>
    <w:rsid w:val="00752EE4"/>
    <w:rsid w:val="00761960"/>
    <w:rsid w:val="007C2A76"/>
    <w:rsid w:val="008A0015"/>
    <w:rsid w:val="008D1DD4"/>
    <w:rsid w:val="00902169"/>
    <w:rsid w:val="00972561"/>
    <w:rsid w:val="00A501C1"/>
    <w:rsid w:val="00A60A53"/>
    <w:rsid w:val="00AA16CD"/>
    <w:rsid w:val="00B26761"/>
    <w:rsid w:val="00BB6A99"/>
    <w:rsid w:val="00CC6128"/>
    <w:rsid w:val="00E256BE"/>
    <w:rsid w:val="00E3090D"/>
    <w:rsid w:val="00E52B05"/>
    <w:rsid w:val="00E66CFF"/>
    <w:rsid w:val="00E86D80"/>
    <w:rsid w:val="00E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8C10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3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7F821937.dotm</Template>
  <TotalTime>0</TotalTime>
  <Pages>2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michele.ruschke</cp:lastModifiedBy>
  <cp:revision>20</cp:revision>
  <cp:lastPrinted>1999-04-09T08:00:00Z</cp:lastPrinted>
  <dcterms:created xsi:type="dcterms:W3CDTF">2019-11-26T15:58:00Z</dcterms:created>
  <dcterms:modified xsi:type="dcterms:W3CDTF">2020-06-29T06:09:00Z</dcterms:modified>
</cp:coreProperties>
</file>