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3A3AED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</w:t>
            </w:r>
            <w:r w:rsidR="003A3AED">
              <w:t xml:space="preserve">       </w:t>
            </w:r>
            <w:r w:rsidR="00194D4A">
              <w:t xml:space="preserve">   </w:t>
            </w:r>
            <w:r w:rsidR="003A3AED">
              <w:rPr>
                <w:b/>
                <w:sz w:val="28"/>
                <w:szCs w:val="28"/>
              </w:rPr>
              <w:t>Ordnung und Sauberkeit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3A3AED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-3598</wp:posOffset>
                  </wp:positionV>
                  <wp:extent cx="713105" cy="621665"/>
                  <wp:effectExtent l="0" t="0" r="0" b="698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4809278</wp:posOffset>
                  </wp:positionH>
                  <wp:positionV relativeFrom="paragraph">
                    <wp:posOffset>-3598</wp:posOffset>
                  </wp:positionV>
                  <wp:extent cx="780415" cy="676910"/>
                  <wp:effectExtent l="0" t="0" r="635" b="889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A</w:t>
            </w:r>
            <w:r w:rsidRPr="003A3AED">
              <w:rPr>
                <w:sz w:val="20"/>
              </w:rPr>
              <w:t>usrutschen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Anstoßen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Spitze und scharfe Gegenstände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Giftige, ätzende oder heiße/kalte Stoffe</w:t>
            </w:r>
          </w:p>
          <w:p w:rsidR="00D079E7" w:rsidRPr="00D079E7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Gase, Dämpfe und Stäube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Jeder muss an seinem Arbeitsplatz für Ordnung und Sauberkeit sorgen.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Alle Mitarbeiter müssen für die jeweils auszuführenden Tätigkeiten die vorgeschriebene, persönliche Schutzausrüstung tragen.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Jeder Mitarbeiter muss die vom Betrieb zur Verfügung gestellten Hilfsmittel, z.B. Regale, Leitern, Maschinen usw., bestimmungsgemäß benutzen.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Es müssen feste Abstell- bzw. Ablageflächen und ausreichend bemessene Behälter für Ausschuss, Späne und Putzlappen vorhanden sein.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Auf dem Boden liegende Abfälle, Späne und Stäube müssen regelmäßig entfernt werden, da sich sonst eine erhöhte Stolper- und Rutschgefahr ergibt.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Jeder sollte eine ausreichende persönliche Hygiene betreiben.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Alle benötigten Teile und Werkzeuge sind griffbereit und übersichtlich an den dafür vorgesehenen Stellen aufzubewahren.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Geh- und Fahrwege sind von Materialien und sonstigen Hindernissen freizuhalten. Die Böden sind regelmäßig zu reinigen.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Absaugungen müssen dem Verwendungszweck entsprechend benutzt werden.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Die Mengen von Gefahrstoffen am Arbeitsplatz sind so gering wie möglich halten.</w:t>
            </w:r>
          </w:p>
          <w:p w:rsidR="00D079E7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Gesundheitsgefährliche Flüssigkeiten nicht in Trinkgefäße, Getränkeflaschen usw. einfüllen (Verwechslungsgefahr)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Geräte und Maschinen bei Störungen sofort abschalten, sichern und die Technik informieren.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Reparaturen sind grundsätzlich nur nur durch Fachpersonal oder beauftragte und unterwiesene Personen auszuführen</w:t>
            </w:r>
          </w:p>
          <w:p w:rsidR="00D079E7" w:rsidRPr="00D079E7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Defekte Geräte  bzw. Maschinen umgehend vom Netz nehmen.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3A3AE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 xml:space="preserve">Ersthelfer informieren (siehe Alarmplan) </w:t>
            </w:r>
          </w:p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Verletzungen sofort versorgen</w:t>
            </w:r>
          </w:p>
          <w:p w:rsidR="00D079E7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Eintragung in das Verbandbuch vornehmen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3A3AED" w:rsidRDefault="003A3AED">
      <w:r>
        <w:br w:type="page"/>
      </w:r>
      <w:bookmarkStart w:id="0" w:name="_GoBack"/>
      <w:bookmarkEnd w:id="0"/>
    </w:p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931"/>
        <w:gridCol w:w="1440"/>
        <w:gridCol w:w="1442"/>
      </w:tblGrid>
      <w:tr w:rsidR="00D079E7" w:rsidTr="0070141D">
        <w:trPr>
          <w:trHeight w:val="413"/>
        </w:trPr>
        <w:tc>
          <w:tcPr>
            <w:tcW w:w="9912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Pr="003A3AED" w:rsidRDefault="00D079E7" w:rsidP="003A3AE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3A3AED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Mängel an Geräten und Maschinen sind umgehend dem Lehrer bzw. Vorgesetzten zu melden.</w:t>
            </w:r>
          </w:p>
          <w:p w:rsidR="00D079E7" w:rsidRPr="003A3AED" w:rsidRDefault="003A3AED" w:rsidP="003A3AE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A3AED">
              <w:rPr>
                <w:sz w:val="20"/>
              </w:rPr>
              <w:t>Instandsetzung von Geräten oder Maschinen nur durch Fachpersonal oder beauftragte und unterwiesene Personen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3A3AED">
      <w:rPr>
        <w:noProof/>
        <w:sz w:val="18"/>
      </w:rPr>
      <w:t>5414-FB_BA_Ordnung und Sauberkeit</w:t>
    </w:r>
    <w:r>
      <w:rPr>
        <w:noProof/>
        <w:sz w:val="18"/>
      </w:rPr>
      <w:t>_Version_1</w:t>
    </w:r>
    <w:r w:rsidR="003A3AED">
      <w:rPr>
        <w:noProof/>
        <w:sz w:val="18"/>
      </w:rPr>
      <w:t>.</w:t>
    </w:r>
    <w:r>
      <w:rPr>
        <w:noProof/>
        <w:sz w:val="18"/>
      </w:rPr>
      <w:t>0_</w:t>
    </w:r>
    <w:r w:rsidR="003A3AED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1E62ED"/>
    <w:multiLevelType w:val="hybridMultilevel"/>
    <w:tmpl w:val="DA768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7D15A5C"/>
    <w:multiLevelType w:val="hybridMultilevel"/>
    <w:tmpl w:val="6A360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A3AED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E0BB73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2020-11-23T12:56:00Z</dcterms:created>
  <dcterms:modified xsi:type="dcterms:W3CDTF">2020-11-23T12:56:00Z</dcterms:modified>
</cp:coreProperties>
</file>