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94" w:type="dxa"/>
        <w:tblInd w:w="224" w:type="dxa"/>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ayout w:type="fixed"/>
        <w:tblCellMar>
          <w:left w:w="70" w:type="dxa"/>
          <w:right w:w="70" w:type="dxa"/>
        </w:tblCellMar>
        <w:tblLook w:val="0000" w:firstRow="0" w:lastRow="0" w:firstColumn="0" w:lastColumn="0" w:noHBand="0" w:noVBand="0"/>
      </w:tblPr>
      <w:tblGrid>
        <w:gridCol w:w="981"/>
        <w:gridCol w:w="2834"/>
        <w:gridCol w:w="3828"/>
        <w:gridCol w:w="1135"/>
        <w:gridCol w:w="1134"/>
        <w:gridCol w:w="1440"/>
        <w:gridCol w:w="1442"/>
      </w:tblGrid>
      <w:tr w:rsidR="000A7B15" w:rsidTr="0070141D">
        <w:trPr>
          <w:gridAfter w:val="2"/>
          <w:wAfter w:w="2882" w:type="dxa"/>
        </w:trPr>
        <w:tc>
          <w:tcPr>
            <w:tcW w:w="3815" w:type="dxa"/>
            <w:gridSpan w:val="2"/>
            <w:tcBorders>
              <w:top w:val="single" w:sz="48" w:space="0" w:color="0000FF"/>
              <w:left w:val="single" w:sz="48" w:space="0" w:color="0000FF"/>
              <w:bottom w:val="nil"/>
              <w:right w:val="nil"/>
            </w:tcBorders>
            <w:shd w:val="solid" w:color="FFFFFF" w:fill="auto"/>
          </w:tcPr>
          <w:p w:rsidR="000A7B15" w:rsidRDefault="00233C94" w:rsidP="008271F6">
            <w:pPr>
              <w:tabs>
                <w:tab w:val="left" w:pos="498"/>
              </w:tabs>
              <w:rPr>
                <w:sz w:val="22"/>
              </w:rPr>
            </w:pPr>
            <w:r>
              <w:rPr>
                <w:noProof/>
              </w:rPr>
              <w:drawing>
                <wp:anchor distT="0" distB="0" distL="114300" distR="114300" simplePos="0" relativeHeight="251658240" behindDoc="0" locked="0" layoutInCell="1" allowOverlap="1">
                  <wp:simplePos x="0" y="0"/>
                  <wp:positionH relativeFrom="page">
                    <wp:posOffset>635</wp:posOffset>
                  </wp:positionH>
                  <wp:positionV relativeFrom="paragraph">
                    <wp:posOffset>-3810</wp:posOffset>
                  </wp:positionV>
                  <wp:extent cx="2340000" cy="327600"/>
                  <wp:effectExtent l="0" t="0" r="3175" b="0"/>
                  <wp:wrapNone/>
                  <wp:docPr id="4" name="Grafik 4" descr="http://egv-portal/VisImport_EGV_Prod/Verwaltung/Corporate%20Design/Logo-Druck/EBK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gv-portal/VisImport_EGV_Prod/Verwaltung/Corporate%20Design/Logo-Druck/EBK_Logo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0000" cy="327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Borders>
              <w:top w:val="single" w:sz="48" w:space="0" w:color="0000FF"/>
              <w:left w:val="single" w:sz="18" w:space="0" w:color="0000FF"/>
              <w:bottom w:val="nil"/>
              <w:right w:val="single" w:sz="18" w:space="0" w:color="0000FF"/>
            </w:tcBorders>
            <w:shd w:val="solid" w:color="FFFFFF" w:fill="auto"/>
          </w:tcPr>
          <w:p w:rsidR="000A7B15" w:rsidRDefault="000A7B15" w:rsidP="008271F6">
            <w:pPr>
              <w:jc w:val="center"/>
              <w:rPr>
                <w:b/>
                <w:sz w:val="32"/>
              </w:rPr>
            </w:pPr>
            <w:r>
              <w:rPr>
                <w:b/>
                <w:sz w:val="32"/>
              </w:rPr>
              <w:t>BETRIEBSANWEISUNG</w:t>
            </w:r>
          </w:p>
          <w:p w:rsidR="00781F26" w:rsidRDefault="000A7B15" w:rsidP="008271F6">
            <w:pPr>
              <w:rPr>
                <w:sz w:val="22"/>
              </w:rPr>
            </w:pPr>
            <w:r>
              <w:rPr>
                <w:sz w:val="22"/>
              </w:rPr>
              <w:t>Geltungs</w:t>
            </w:r>
            <w:r w:rsidR="00781F26">
              <w:rPr>
                <w:sz w:val="22"/>
              </w:rPr>
              <w:t>-</w:t>
            </w:r>
          </w:p>
          <w:p w:rsidR="000A7B15" w:rsidRDefault="000A7B15" w:rsidP="008271F6">
            <w:pPr>
              <w:rPr>
                <w:sz w:val="22"/>
              </w:rPr>
            </w:pPr>
            <w:proofErr w:type="spellStart"/>
            <w:r>
              <w:rPr>
                <w:sz w:val="22"/>
              </w:rPr>
              <w:t>bereich</w:t>
            </w:r>
            <w:proofErr w:type="spellEnd"/>
            <w:r>
              <w:rPr>
                <w:sz w:val="22"/>
              </w:rPr>
              <w:t xml:space="preserve">: </w:t>
            </w:r>
          </w:p>
        </w:tc>
        <w:tc>
          <w:tcPr>
            <w:tcW w:w="2269" w:type="dxa"/>
            <w:gridSpan w:val="2"/>
            <w:tcBorders>
              <w:top w:val="single" w:sz="48" w:space="0" w:color="0000FF"/>
              <w:left w:val="nil"/>
              <w:bottom w:val="nil"/>
              <w:right w:val="single" w:sz="48" w:space="0" w:color="0000FF"/>
            </w:tcBorders>
            <w:shd w:val="solid" w:color="FFFFFF" w:fill="auto"/>
          </w:tcPr>
          <w:p w:rsidR="000A7B15" w:rsidRDefault="000A7B15" w:rsidP="008271F6">
            <w:pPr>
              <w:rPr>
                <w:sz w:val="22"/>
              </w:rPr>
            </w:pPr>
            <w:r>
              <w:rPr>
                <w:sz w:val="22"/>
              </w:rPr>
              <w:t xml:space="preserve">Datum: </w:t>
            </w:r>
          </w:p>
          <w:p w:rsidR="000A7B15" w:rsidRDefault="000A7B15" w:rsidP="008271F6">
            <w:pPr>
              <w:spacing w:before="120"/>
              <w:rPr>
                <w:sz w:val="22"/>
              </w:rPr>
            </w:pPr>
            <w:r>
              <w:rPr>
                <w:sz w:val="22"/>
              </w:rPr>
              <w:t>................................</w:t>
            </w:r>
          </w:p>
          <w:p w:rsidR="000A7B15" w:rsidRDefault="000A7B15" w:rsidP="008271F6">
            <w:pPr>
              <w:rPr>
                <w:sz w:val="22"/>
              </w:rPr>
            </w:pPr>
            <w:r>
              <w:rPr>
                <w:sz w:val="16"/>
              </w:rPr>
              <w:t>Unterschrift Verantwortliche</w:t>
            </w:r>
            <w:r w:rsidR="00D079E7">
              <w:rPr>
                <w:sz w:val="16"/>
              </w:rPr>
              <w:t>/</w:t>
            </w:r>
            <w:r>
              <w:rPr>
                <w:sz w:val="16"/>
              </w:rPr>
              <w:t>r</w:t>
            </w:r>
          </w:p>
        </w:tc>
      </w:tr>
      <w:tr w:rsidR="000A7B15"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0A7B15" w:rsidRDefault="000A7B15" w:rsidP="008271F6">
            <w:pPr>
              <w:jc w:val="center"/>
              <w:rPr>
                <w:b/>
                <w:color w:val="000000"/>
                <w:sz w:val="32"/>
              </w:rPr>
            </w:pPr>
            <w:r>
              <w:rPr>
                <w:b/>
                <w:color w:val="000000"/>
                <w:sz w:val="32"/>
              </w:rPr>
              <w:t>Anwendungsbereich</w:t>
            </w:r>
          </w:p>
        </w:tc>
        <w:tc>
          <w:tcPr>
            <w:tcW w:w="1440" w:type="dxa"/>
            <w:tcBorders>
              <w:top w:val="nil"/>
              <w:left w:val="nil"/>
              <w:bottom w:val="nil"/>
              <w:right w:val="nil"/>
            </w:tcBorders>
          </w:tcPr>
          <w:p w:rsidR="000A7B15" w:rsidRDefault="000A7B15" w:rsidP="008271F6"/>
        </w:tc>
        <w:tc>
          <w:tcPr>
            <w:tcW w:w="1442" w:type="dxa"/>
            <w:tcBorders>
              <w:left w:val="nil"/>
            </w:tcBorders>
          </w:tcPr>
          <w:p w:rsidR="000A7B15" w:rsidRDefault="000A7B15" w:rsidP="008271F6"/>
        </w:tc>
      </w:tr>
      <w:tr w:rsidR="000A7B15" w:rsidTr="0070141D">
        <w:tblPrEx>
          <w:tblCellMar>
            <w:left w:w="71" w:type="dxa"/>
            <w:right w:w="71" w:type="dxa"/>
          </w:tblCellMar>
        </w:tblPrEx>
        <w:trPr>
          <w:gridAfter w:val="2"/>
          <w:wAfter w:w="2882" w:type="dxa"/>
        </w:trPr>
        <w:tc>
          <w:tcPr>
            <w:tcW w:w="981" w:type="dxa"/>
            <w:tcBorders>
              <w:top w:val="single" w:sz="12" w:space="0" w:color="0000FF"/>
              <w:left w:val="single" w:sz="48" w:space="0" w:color="0000FF"/>
              <w:bottom w:val="nil"/>
              <w:right w:val="nil"/>
            </w:tcBorders>
            <w:shd w:val="solid" w:color="FFFFFF" w:fill="auto"/>
          </w:tcPr>
          <w:p w:rsidR="000A7B15" w:rsidRDefault="000A7B15" w:rsidP="008271F6">
            <w:pPr>
              <w:spacing w:before="60" w:after="60"/>
              <w:jc w:val="center"/>
              <w:rPr>
                <w:b/>
                <w:sz w:val="22"/>
              </w:rPr>
            </w:pPr>
          </w:p>
        </w:tc>
        <w:tc>
          <w:tcPr>
            <w:tcW w:w="8931" w:type="dxa"/>
            <w:gridSpan w:val="4"/>
            <w:tcBorders>
              <w:top w:val="single" w:sz="12" w:space="0" w:color="0000FF"/>
              <w:left w:val="nil"/>
              <w:bottom w:val="nil"/>
              <w:right w:val="single" w:sz="48" w:space="0" w:color="0000FF"/>
            </w:tcBorders>
            <w:shd w:val="solid" w:color="FFFFFF" w:fill="auto"/>
          </w:tcPr>
          <w:p w:rsidR="000A7B15" w:rsidRDefault="000A7B15" w:rsidP="00115A10">
            <w:pPr>
              <w:spacing w:before="60" w:after="60"/>
              <w:rPr>
                <w:b/>
                <w:sz w:val="28"/>
                <w:szCs w:val="28"/>
              </w:rPr>
            </w:pPr>
            <w:r>
              <w:t xml:space="preserve"> </w:t>
            </w:r>
            <w:r w:rsidR="00194D4A">
              <w:t xml:space="preserve">          </w:t>
            </w:r>
            <w:r w:rsidR="00115A10">
              <w:t xml:space="preserve">             </w:t>
            </w:r>
            <w:r w:rsidR="00194D4A">
              <w:t xml:space="preserve">               </w:t>
            </w:r>
            <w:r w:rsidR="00115A10">
              <w:rPr>
                <w:b/>
                <w:sz w:val="28"/>
                <w:szCs w:val="28"/>
              </w:rPr>
              <w:t>Schutzhandschuhe</w:t>
            </w:r>
          </w:p>
          <w:p w:rsidR="00115A10" w:rsidRPr="00115A10" w:rsidRDefault="00115A10" w:rsidP="00115A10">
            <w:pPr>
              <w:spacing w:before="60" w:after="60"/>
              <w:rPr>
                <w:b/>
                <w:sz w:val="22"/>
                <w:szCs w:val="22"/>
              </w:rPr>
            </w:pPr>
            <w:r w:rsidRPr="00115A10">
              <w:rPr>
                <w:b/>
                <w:sz w:val="22"/>
                <w:szCs w:val="22"/>
              </w:rPr>
              <w:t>(Chemikalienschutz-, Hitzeschutz-, Kälteschutz- und Einmalschutzhandschuhe)</w:t>
            </w:r>
          </w:p>
        </w:tc>
      </w:tr>
      <w:tr w:rsidR="00D079E7" w:rsidTr="0070141D">
        <w:tc>
          <w:tcPr>
            <w:tcW w:w="9912" w:type="dxa"/>
            <w:gridSpan w:val="5"/>
            <w:tcBorders>
              <w:top w:val="single" w:sz="48" w:space="0" w:color="0000FF"/>
              <w:left w:val="single" w:sz="48" w:space="0" w:color="0000FF"/>
              <w:bottom w:val="nil"/>
              <w:right w:val="single" w:sz="48" w:space="0" w:color="0000FF"/>
            </w:tcBorders>
            <w:shd w:val="clear" w:color="FF0000" w:fill="auto"/>
          </w:tcPr>
          <w:p w:rsidR="00D079E7" w:rsidRDefault="00D079E7" w:rsidP="00D079E7">
            <w:pPr>
              <w:jc w:val="center"/>
              <w:rPr>
                <w:b/>
                <w:color w:val="000000"/>
                <w:sz w:val="32"/>
              </w:rPr>
            </w:pPr>
            <w:r w:rsidRPr="00214735">
              <w:rPr>
                <w:b/>
                <w:color w:val="000000"/>
                <w:sz w:val="32"/>
              </w:rPr>
              <w:t>Gefahren für die Beschäftigten</w:t>
            </w:r>
            <w:r>
              <w:rPr>
                <w:b/>
                <w:color w:val="000000"/>
                <w:sz w:val="32"/>
              </w:rPr>
              <w:t xml:space="preserve"> und die Umwelt</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clear" w:color="FF0000" w:fill="auto"/>
          </w:tcPr>
          <w:p w:rsidR="00D079E7" w:rsidRDefault="00D079E7" w:rsidP="00D079E7">
            <w:pPr>
              <w:jc w:val="center"/>
              <w:rPr>
                <w:b/>
                <w:color w:val="FFFFFF"/>
                <w:sz w:val="22"/>
              </w:rPr>
            </w:pPr>
            <w:r>
              <w:rPr>
                <w:b/>
                <w:noProof/>
                <w:color w:val="FFFFFF"/>
                <w:sz w:val="22"/>
              </w:rPr>
              <w:drawing>
                <wp:anchor distT="0" distB="0" distL="114300" distR="114300" simplePos="0" relativeHeight="251661312" behindDoc="0" locked="0" layoutInCell="1" allowOverlap="1" wp14:anchorId="613FC2A3" wp14:editId="661ACA45">
                  <wp:simplePos x="0" y="0"/>
                  <wp:positionH relativeFrom="column">
                    <wp:posOffset>-3175</wp:posOffset>
                  </wp:positionH>
                  <wp:positionV relativeFrom="paragraph">
                    <wp:posOffset>3810</wp:posOffset>
                  </wp:positionV>
                  <wp:extent cx="632460" cy="548640"/>
                  <wp:effectExtent l="0" t="0" r="0" b="3810"/>
                  <wp:wrapNone/>
                  <wp:docPr id="5" name="Grafik 5" descr="W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1" w:type="dxa"/>
            <w:gridSpan w:val="4"/>
            <w:tcBorders>
              <w:top w:val="single" w:sz="12" w:space="0" w:color="0000FF"/>
              <w:left w:val="nil"/>
              <w:bottom w:val="nil"/>
              <w:right w:val="single" w:sz="48" w:space="0" w:color="0000FF"/>
            </w:tcBorders>
            <w:shd w:val="clear" w:color="FF0000" w:fill="auto"/>
          </w:tcPr>
          <w:p w:rsidR="00115A10" w:rsidRPr="00115A10" w:rsidRDefault="00115A10" w:rsidP="00115A10">
            <w:pPr>
              <w:numPr>
                <w:ilvl w:val="0"/>
                <w:numId w:val="5"/>
              </w:numPr>
              <w:spacing w:after="60"/>
              <w:ind w:left="508" w:hanging="283"/>
              <w:rPr>
                <w:sz w:val="20"/>
              </w:rPr>
            </w:pPr>
            <w:r w:rsidRPr="00115A10">
              <w:rPr>
                <w:sz w:val="20"/>
              </w:rPr>
              <w:t>Verhinderung der Gefährdung der Haut der Hände durch Gefahrstoffe bzw. biologischen Arbeitsstoffe (Giftwirkung, Ätzwirkung, Sensibilisierung, Möglichkeit der Infektion).</w:t>
            </w:r>
          </w:p>
          <w:p w:rsidR="00115A10" w:rsidRPr="00115A10" w:rsidRDefault="00115A10" w:rsidP="00115A10">
            <w:pPr>
              <w:numPr>
                <w:ilvl w:val="0"/>
                <w:numId w:val="5"/>
              </w:numPr>
              <w:spacing w:after="60"/>
              <w:ind w:left="508" w:hanging="283"/>
              <w:rPr>
                <w:sz w:val="20"/>
              </w:rPr>
            </w:pPr>
            <w:r w:rsidRPr="00115A10">
              <w:rPr>
                <w:sz w:val="20"/>
              </w:rPr>
              <w:t>Verhinderung von Verbrennungen an heißen Oberflächen.</w:t>
            </w:r>
          </w:p>
          <w:p w:rsidR="00115A10" w:rsidRPr="00115A10" w:rsidRDefault="00115A10" w:rsidP="00115A10">
            <w:pPr>
              <w:numPr>
                <w:ilvl w:val="0"/>
                <w:numId w:val="5"/>
              </w:numPr>
              <w:spacing w:after="60"/>
              <w:ind w:left="508" w:hanging="283"/>
              <w:rPr>
                <w:sz w:val="20"/>
              </w:rPr>
            </w:pPr>
            <w:r w:rsidRPr="00115A10">
              <w:rPr>
                <w:sz w:val="20"/>
              </w:rPr>
              <w:t>Verhinderung von Kaltverbrennungen bei der Handhabung tief kalter Gegenstände.</w:t>
            </w:r>
          </w:p>
          <w:p w:rsidR="00D079E7" w:rsidRPr="00D079E7" w:rsidRDefault="00115A10" w:rsidP="00115A10">
            <w:pPr>
              <w:numPr>
                <w:ilvl w:val="0"/>
                <w:numId w:val="5"/>
              </w:numPr>
              <w:spacing w:after="60"/>
              <w:ind w:left="508" w:hanging="283"/>
              <w:rPr>
                <w:sz w:val="20"/>
              </w:rPr>
            </w:pPr>
            <w:r w:rsidRPr="00115A10">
              <w:rPr>
                <w:sz w:val="20"/>
              </w:rPr>
              <w:t>Verhinderung allgemeiner Hautverschmutzung.</w:t>
            </w:r>
          </w:p>
        </w:tc>
        <w:tc>
          <w:tcPr>
            <w:tcW w:w="1440" w:type="dxa"/>
            <w:tcBorders>
              <w:top w:val="nil"/>
              <w:left w:val="nil"/>
              <w:bottom w:val="nil"/>
              <w:right w:val="nil"/>
            </w:tcBorders>
          </w:tcPr>
          <w:p w:rsidR="00D079E7" w:rsidRDefault="00D079E7" w:rsidP="00D079E7"/>
        </w:tc>
      </w:tr>
      <w:tr w:rsidR="00D079E7" w:rsidTr="0070141D">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Erforderliche Schutzmaßnahmen und Verhaltensregeln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blPrEx>
          <w:tblBorders>
            <w:top w:val="single" w:sz="12" w:space="0" w:color="FF0000"/>
            <w:insideH w:val="none" w:sz="0" w:space="0" w:color="auto"/>
            <w:insideV w:val="none" w:sz="0" w:space="0" w:color="auto"/>
          </w:tblBorders>
          <w:tblCellMar>
            <w:left w:w="71" w:type="dxa"/>
            <w:right w:w="71" w:type="dxa"/>
          </w:tblCellMar>
        </w:tblPrEx>
        <w:trPr>
          <w:gridAfter w:val="2"/>
          <w:wAfter w:w="2882" w:type="dxa"/>
        </w:trPr>
        <w:tc>
          <w:tcPr>
            <w:tcW w:w="981" w:type="dxa"/>
            <w:tcBorders>
              <w:top w:val="single" w:sz="12" w:space="0" w:color="0000FF"/>
              <w:left w:val="single" w:sz="48" w:space="0" w:color="0000FF"/>
            </w:tcBorders>
            <w:shd w:val="solid" w:color="FFFFFF" w:fill="FF0000"/>
          </w:tcPr>
          <w:p w:rsidR="007578E8" w:rsidRDefault="007578E8" w:rsidP="007578E8">
            <w:pPr>
              <w:jc w:val="center"/>
              <w:rPr>
                <w:sz w:val="18"/>
                <w:szCs w:val="18"/>
              </w:rPr>
            </w:pPr>
          </w:p>
          <w:p w:rsidR="007578E8" w:rsidRPr="008E0199" w:rsidRDefault="007578E8" w:rsidP="007578E8">
            <w:pPr>
              <w:jc w:val="center"/>
              <w:rPr>
                <w:sz w:val="18"/>
                <w:szCs w:val="18"/>
              </w:rPr>
            </w:pPr>
          </w:p>
          <w:p w:rsidR="00D079E7" w:rsidRDefault="00115A10" w:rsidP="00D079E7">
            <w:pPr>
              <w:jc w:val="center"/>
              <w:rPr>
                <w:b/>
                <w:sz w:val="22"/>
              </w:rPr>
            </w:pPr>
            <w:r>
              <w:rPr>
                <w:b/>
                <w:noProof/>
                <w:sz w:val="22"/>
              </w:rPr>
              <w:drawing>
                <wp:inline distT="0" distB="0" distL="0" distR="0" wp14:anchorId="1EF11CF6">
                  <wp:extent cx="579120" cy="5791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tc>
        <w:tc>
          <w:tcPr>
            <w:tcW w:w="7797" w:type="dxa"/>
            <w:gridSpan w:val="3"/>
            <w:tcBorders>
              <w:top w:val="single" w:sz="12" w:space="0" w:color="0000FF"/>
            </w:tcBorders>
            <w:shd w:val="solid" w:color="FFFFFF" w:fill="FF0000"/>
          </w:tcPr>
          <w:p w:rsidR="00115A10" w:rsidRPr="00115A10" w:rsidRDefault="00115A10" w:rsidP="00115A10">
            <w:pPr>
              <w:spacing w:after="60"/>
              <w:rPr>
                <w:sz w:val="20"/>
              </w:rPr>
            </w:pPr>
            <w:r w:rsidRPr="00115A10">
              <w:rPr>
                <w:sz w:val="20"/>
              </w:rPr>
              <w:t>Bei allen Arbeiten, die zu Gefährdungen der Hände führen können (Umgang mit ätzenden, giftigen, sensibilisierenden Gefahrstoffe, Tätigkeiten mit pathogenen biologischen Arbeitsstoffen, Handhabung heißer oder tief kalter Gegenstände bzw. Geräte) entsprechende Handschuhe tragen:</w:t>
            </w:r>
          </w:p>
          <w:p w:rsidR="00115A10" w:rsidRPr="00115A10" w:rsidRDefault="00115A10" w:rsidP="00115A10">
            <w:pPr>
              <w:numPr>
                <w:ilvl w:val="0"/>
                <w:numId w:val="5"/>
              </w:numPr>
              <w:spacing w:after="60"/>
              <w:rPr>
                <w:sz w:val="20"/>
              </w:rPr>
            </w:pPr>
            <w:r w:rsidRPr="00115A10">
              <w:rPr>
                <w:b/>
                <w:sz w:val="20"/>
              </w:rPr>
              <w:t>Giftige, ätzende und sensibilisierende Stoffe:</w:t>
            </w:r>
            <w:r w:rsidRPr="00115A10">
              <w:rPr>
                <w:sz w:val="20"/>
              </w:rPr>
              <w:t xml:space="preserve"> </w:t>
            </w:r>
            <w:proofErr w:type="spellStart"/>
            <w:r w:rsidRPr="00115A10">
              <w:rPr>
                <w:sz w:val="20"/>
              </w:rPr>
              <w:t>Nitrilhandschuhe</w:t>
            </w:r>
            <w:proofErr w:type="spellEnd"/>
            <w:r w:rsidRPr="00115A10">
              <w:rPr>
                <w:sz w:val="20"/>
              </w:rPr>
              <w:t xml:space="preserve"> </w:t>
            </w:r>
          </w:p>
          <w:p w:rsidR="00115A10" w:rsidRPr="00115A10" w:rsidRDefault="00115A10" w:rsidP="00115A10">
            <w:pPr>
              <w:numPr>
                <w:ilvl w:val="0"/>
                <w:numId w:val="5"/>
              </w:numPr>
              <w:spacing w:after="60"/>
              <w:rPr>
                <w:sz w:val="20"/>
              </w:rPr>
            </w:pPr>
            <w:r w:rsidRPr="00115A10">
              <w:rPr>
                <w:b/>
                <w:sz w:val="20"/>
              </w:rPr>
              <w:t>Heiße Glas-, Metall- und Porzellanteile:</w:t>
            </w:r>
            <w:r w:rsidRPr="00115A10">
              <w:rPr>
                <w:sz w:val="20"/>
              </w:rPr>
              <w:t xml:space="preserve"> Hitzeschutzhandschuhe </w:t>
            </w:r>
          </w:p>
          <w:p w:rsidR="00115A10" w:rsidRPr="00115A10" w:rsidRDefault="00115A10" w:rsidP="00115A10">
            <w:pPr>
              <w:numPr>
                <w:ilvl w:val="0"/>
                <w:numId w:val="5"/>
              </w:numPr>
              <w:spacing w:after="60"/>
              <w:rPr>
                <w:sz w:val="20"/>
              </w:rPr>
            </w:pPr>
            <w:r w:rsidRPr="00115A10">
              <w:rPr>
                <w:b/>
                <w:sz w:val="20"/>
              </w:rPr>
              <w:t>Tief kalte Gegenstände:</w:t>
            </w:r>
            <w:r w:rsidRPr="00115A10">
              <w:rPr>
                <w:sz w:val="20"/>
              </w:rPr>
              <w:t xml:space="preserve"> Isolierhandschuhe </w:t>
            </w:r>
          </w:p>
          <w:p w:rsidR="00115A10" w:rsidRPr="00115A10" w:rsidRDefault="00115A10" w:rsidP="00115A10">
            <w:pPr>
              <w:numPr>
                <w:ilvl w:val="0"/>
                <w:numId w:val="5"/>
              </w:numPr>
              <w:spacing w:after="60"/>
              <w:rPr>
                <w:sz w:val="20"/>
              </w:rPr>
            </w:pPr>
            <w:r w:rsidRPr="00115A10">
              <w:rPr>
                <w:b/>
                <w:sz w:val="20"/>
              </w:rPr>
              <w:t>Biologische Arbeitsstoffe und normaler Schmutz (z.B. Öl):</w:t>
            </w:r>
            <w:r w:rsidRPr="00115A10">
              <w:rPr>
                <w:sz w:val="20"/>
              </w:rPr>
              <w:t xml:space="preserve"> Einmalschutzhandschuhe aus Nitril oder Latex (letztere nicht geeignet für Latex-Allergiker). Bei Latexhandschuhen nur puderfreie Typen verwenden. </w:t>
            </w:r>
          </w:p>
          <w:p w:rsidR="00115A10" w:rsidRPr="00115A10" w:rsidRDefault="00115A10" w:rsidP="00115A10">
            <w:pPr>
              <w:numPr>
                <w:ilvl w:val="0"/>
                <w:numId w:val="5"/>
              </w:numPr>
              <w:spacing w:after="60"/>
              <w:rPr>
                <w:sz w:val="20"/>
              </w:rPr>
            </w:pPr>
            <w:r w:rsidRPr="00115A10">
              <w:rPr>
                <w:sz w:val="20"/>
              </w:rPr>
              <w:t>Widerstandsfähigkeit des Handschuhmateriales in Abhängigkeit vom Gefahrstoff beachten. Einmalschutzhandschuhe sind gegen viele chemische, mechanische und thermische Einwirkungen nur sehr wenig oder überhaupt nicht widerstandsfähig.</w:t>
            </w:r>
          </w:p>
          <w:p w:rsidR="00115A10" w:rsidRPr="00115A10" w:rsidRDefault="00115A10" w:rsidP="00115A10">
            <w:pPr>
              <w:numPr>
                <w:ilvl w:val="0"/>
                <w:numId w:val="5"/>
              </w:numPr>
              <w:spacing w:after="60"/>
              <w:rPr>
                <w:sz w:val="20"/>
              </w:rPr>
            </w:pPr>
            <w:r w:rsidRPr="00115A10">
              <w:rPr>
                <w:sz w:val="20"/>
              </w:rPr>
              <w:t>Kontaminierte Handschuhe sofort ablegen und reinigen oder entsorgen. Mit Handschuhen keine Gegenstände außerhalb des Versuches berühren (z.B. Telefonhörer, Schreibgerät, Griffe, Tastaturen, andere Laborgeräte, Frontschieber, Türklinken, Armaturen) um Schmierkontaminationen zu vermeiden.</w:t>
            </w:r>
          </w:p>
          <w:p w:rsidR="00115A10" w:rsidRPr="00115A10" w:rsidRDefault="00115A10" w:rsidP="00115A10">
            <w:pPr>
              <w:numPr>
                <w:ilvl w:val="0"/>
                <w:numId w:val="5"/>
              </w:numPr>
              <w:spacing w:after="60"/>
              <w:rPr>
                <w:sz w:val="20"/>
              </w:rPr>
            </w:pPr>
            <w:r w:rsidRPr="00115A10">
              <w:rPr>
                <w:sz w:val="20"/>
              </w:rPr>
              <w:t>Handschuhe nicht zwischen Personen tauschen.</w:t>
            </w:r>
          </w:p>
          <w:p w:rsidR="00115A10" w:rsidRPr="00115A10" w:rsidRDefault="00115A10" w:rsidP="00115A10">
            <w:pPr>
              <w:numPr>
                <w:ilvl w:val="0"/>
                <w:numId w:val="5"/>
              </w:numPr>
              <w:spacing w:after="60"/>
              <w:rPr>
                <w:sz w:val="20"/>
              </w:rPr>
            </w:pPr>
            <w:r w:rsidRPr="00115A10">
              <w:rPr>
                <w:sz w:val="20"/>
              </w:rPr>
              <w:t>Einmalschutzhandschuhe nach Gebrauch nicht wiederverwenden.</w:t>
            </w:r>
          </w:p>
          <w:p w:rsidR="00115A10" w:rsidRPr="00115A10" w:rsidRDefault="00115A10" w:rsidP="00115A10">
            <w:pPr>
              <w:numPr>
                <w:ilvl w:val="0"/>
                <w:numId w:val="5"/>
              </w:numPr>
              <w:spacing w:after="60"/>
              <w:rPr>
                <w:sz w:val="20"/>
              </w:rPr>
            </w:pPr>
            <w:r w:rsidRPr="00115A10">
              <w:rPr>
                <w:sz w:val="20"/>
              </w:rPr>
              <w:t xml:space="preserve">Das Tragen von flüssigkeitsdichten Handschuhen belastet die Haut durch Bildung eines Feuchtmilieus. Handschuhe daher nur solange tragen, wie dies für den Schutz unbedingt erforderlich ist. Bei </w:t>
            </w:r>
            <w:r w:rsidRPr="00115A10">
              <w:rPr>
                <w:sz w:val="20"/>
              </w:rPr>
              <w:t>langanhaltenden</w:t>
            </w:r>
            <w:r w:rsidRPr="00115A10">
              <w:rPr>
                <w:sz w:val="20"/>
              </w:rPr>
              <w:t xml:space="preserve"> Arbeiten empfiehlt sich das zwischenzeitliche Einlegen einer handschuhfreien Pause. Die Verwendung von saugfähigen Baumwoll-Unterhandschuhen ist in Erwägung zu ziehen. Der Hautzustand von Personen, die solche Handschuhe im Durchschnitt länger als 2 Stunden pro Tag tragen, ist regelmäßig vom Betriebsarzt überwachen zu lassen.</w:t>
            </w:r>
          </w:p>
          <w:p w:rsidR="00D079E7" w:rsidRDefault="00115A10" w:rsidP="00115A10">
            <w:pPr>
              <w:numPr>
                <w:ilvl w:val="0"/>
                <w:numId w:val="5"/>
              </w:numPr>
              <w:spacing w:after="60"/>
              <w:rPr>
                <w:sz w:val="20"/>
              </w:rPr>
            </w:pPr>
            <w:r w:rsidRPr="00115A10">
              <w:rPr>
                <w:sz w:val="20"/>
              </w:rPr>
              <w:t>Hautschutz, Hautreinigung und Hautpflege gemäß Hautschutzplan unbedingt beachten.</w:t>
            </w:r>
          </w:p>
        </w:tc>
        <w:tc>
          <w:tcPr>
            <w:tcW w:w="1134" w:type="dxa"/>
            <w:tcBorders>
              <w:top w:val="single" w:sz="12" w:space="0" w:color="0000FF"/>
              <w:right w:val="single" w:sz="48" w:space="0" w:color="0000FF"/>
            </w:tcBorders>
            <w:shd w:val="solid" w:color="FFFFFF" w:fill="FF0000"/>
          </w:tcPr>
          <w:p w:rsidR="00D079E7" w:rsidRDefault="00D079E7" w:rsidP="007578E8">
            <w:pPr>
              <w:jc w:val="center"/>
              <w:rPr>
                <w:sz w:val="22"/>
              </w:rPr>
            </w:pPr>
          </w:p>
        </w:tc>
      </w:tr>
      <w:tr w:rsidR="00D079E7" w:rsidTr="0070141D">
        <w:tc>
          <w:tcPr>
            <w:tcW w:w="9912" w:type="dxa"/>
            <w:gridSpan w:val="5"/>
            <w:tcBorders>
              <w:top w:val="single" w:sz="48" w:space="0" w:color="0000FF"/>
              <w:left w:val="single" w:sz="48" w:space="0" w:color="0000FF"/>
              <w:bottom w:val="single" w:sz="12" w:space="0" w:color="0000FF"/>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Maßnahmen bei Betriebsstörungen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nil"/>
              <w:left w:val="single" w:sz="48" w:space="0" w:color="0000FF"/>
              <w:bottom w:val="nil"/>
              <w:right w:val="nil"/>
            </w:tcBorders>
            <w:shd w:val="solid" w:color="FFFFFF" w:fill="FF0000"/>
          </w:tcPr>
          <w:p w:rsidR="00D079E7" w:rsidRDefault="00115A10" w:rsidP="00D079E7">
            <w:pPr>
              <w:jc w:val="center"/>
              <w:rPr>
                <w:b/>
                <w:sz w:val="22"/>
              </w:rPr>
            </w:pPr>
            <w:r>
              <w:rPr>
                <w:b/>
                <w:noProof/>
                <w:sz w:val="22"/>
              </w:rPr>
              <w:drawing>
                <wp:inline distT="0" distB="0" distL="0" distR="0" wp14:anchorId="2A288D2A">
                  <wp:extent cx="579120" cy="13398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 cy="133985"/>
                          </a:xfrm>
                          <a:prstGeom prst="rect">
                            <a:avLst/>
                          </a:prstGeom>
                          <a:noFill/>
                        </pic:spPr>
                      </pic:pic>
                    </a:graphicData>
                  </a:graphic>
                </wp:inline>
              </w:drawing>
            </w:r>
          </w:p>
        </w:tc>
        <w:tc>
          <w:tcPr>
            <w:tcW w:w="8931" w:type="dxa"/>
            <w:gridSpan w:val="4"/>
            <w:tcBorders>
              <w:top w:val="nil"/>
              <w:left w:val="nil"/>
              <w:bottom w:val="nil"/>
              <w:right w:val="single" w:sz="48" w:space="0" w:color="0000FF"/>
            </w:tcBorders>
            <w:shd w:val="solid" w:color="FFFFFF" w:fill="FF0000"/>
          </w:tcPr>
          <w:p w:rsidR="00115A10" w:rsidRPr="00115A10" w:rsidRDefault="00115A10" w:rsidP="00115A10">
            <w:pPr>
              <w:numPr>
                <w:ilvl w:val="0"/>
                <w:numId w:val="5"/>
              </w:numPr>
              <w:spacing w:after="60"/>
              <w:rPr>
                <w:sz w:val="20"/>
              </w:rPr>
            </w:pPr>
            <w:r w:rsidRPr="00115A10">
              <w:rPr>
                <w:sz w:val="20"/>
              </w:rPr>
              <w:t>Überlagerte oder brüchig gewordene Handschuhe nicht verwenden.</w:t>
            </w:r>
          </w:p>
          <w:p w:rsidR="00115A10" w:rsidRPr="00115A10" w:rsidRDefault="00115A10" w:rsidP="00115A10">
            <w:pPr>
              <w:numPr>
                <w:ilvl w:val="0"/>
                <w:numId w:val="5"/>
              </w:numPr>
              <w:spacing w:after="60"/>
              <w:rPr>
                <w:sz w:val="20"/>
              </w:rPr>
            </w:pPr>
            <w:r w:rsidRPr="00115A10">
              <w:rPr>
                <w:sz w:val="20"/>
              </w:rPr>
              <w:t>Handschuhe mit augenscheinlichen Mängeln nicht verwenden.</w:t>
            </w:r>
          </w:p>
          <w:p w:rsidR="00D079E7" w:rsidRPr="00D079E7" w:rsidRDefault="00115A10" w:rsidP="00115A10">
            <w:pPr>
              <w:numPr>
                <w:ilvl w:val="0"/>
                <w:numId w:val="5"/>
              </w:numPr>
              <w:spacing w:after="60"/>
              <w:rPr>
                <w:sz w:val="20"/>
              </w:rPr>
            </w:pPr>
            <w:r w:rsidRPr="00115A10">
              <w:rPr>
                <w:sz w:val="20"/>
              </w:rPr>
              <w:t>Kontaminierte und stark verschmutzte Handschuhe nicht verwenden.</w:t>
            </w:r>
          </w:p>
        </w:tc>
        <w:tc>
          <w:tcPr>
            <w:tcW w:w="1440" w:type="dxa"/>
            <w:tcBorders>
              <w:top w:val="nil"/>
              <w:left w:val="nil"/>
              <w:bottom w:val="nil"/>
              <w:right w:val="nil"/>
            </w:tcBorders>
          </w:tcPr>
          <w:p w:rsidR="00D079E7" w:rsidRDefault="00D079E7" w:rsidP="00D079E7"/>
        </w:tc>
      </w:tr>
      <w:tr w:rsidR="00D079E7" w:rsidTr="0070141D">
        <w:trPr>
          <w:trHeight w:val="405"/>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115A10" w:rsidRDefault="00115A10" w:rsidP="00D079E7">
            <w:pPr>
              <w:jc w:val="center"/>
              <w:rPr>
                <w:b/>
                <w:color w:val="000000"/>
                <w:sz w:val="32"/>
              </w:rPr>
            </w:pPr>
          </w:p>
          <w:p w:rsidR="00115A10" w:rsidRDefault="00115A10" w:rsidP="00D079E7">
            <w:pPr>
              <w:jc w:val="center"/>
              <w:rPr>
                <w:b/>
                <w:color w:val="000000"/>
                <w:sz w:val="32"/>
              </w:rPr>
            </w:pPr>
          </w:p>
          <w:p w:rsidR="00115A10" w:rsidRDefault="00115A10" w:rsidP="00D079E7">
            <w:pPr>
              <w:jc w:val="center"/>
              <w:rPr>
                <w:b/>
                <w:color w:val="000000"/>
                <w:sz w:val="32"/>
              </w:rPr>
            </w:pPr>
          </w:p>
          <w:p w:rsidR="00D079E7" w:rsidRDefault="00D079E7" w:rsidP="00D079E7">
            <w:pPr>
              <w:jc w:val="center"/>
              <w:rPr>
                <w:b/>
                <w:color w:val="000000"/>
                <w:sz w:val="32"/>
              </w:rPr>
            </w:pPr>
            <w:r w:rsidRPr="00214735">
              <w:rPr>
                <w:b/>
                <w:color w:val="000000"/>
                <w:sz w:val="32"/>
              </w:rPr>
              <w:lastRenderedPageBreak/>
              <w:t>Maßnahmen bei Unfällen/Notfällen und zur Ersten Hilfe</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nil"/>
              <w:right w:val="nil"/>
            </w:tcBorders>
            <w:shd w:val="solid" w:color="FFFFFF" w:fill="FF0000"/>
          </w:tcPr>
          <w:p w:rsidR="00D079E7" w:rsidRDefault="00D079E7" w:rsidP="00D079E7">
            <w:pPr>
              <w:rPr>
                <w:b/>
                <w:color w:val="FFFFFF"/>
                <w:sz w:val="22"/>
              </w:rPr>
            </w:pPr>
            <w:r>
              <w:rPr>
                <w:b/>
                <w:noProof/>
                <w:color w:val="FFFFFF"/>
                <w:sz w:val="20"/>
              </w:rPr>
              <w:drawing>
                <wp:inline distT="0" distB="0" distL="0" distR="0" wp14:anchorId="17BA79D1" wp14:editId="67E00783">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931" w:type="dxa"/>
            <w:gridSpan w:val="4"/>
            <w:tcBorders>
              <w:top w:val="single" w:sz="12" w:space="0" w:color="0000FF"/>
              <w:left w:val="nil"/>
              <w:bottom w:val="nil"/>
              <w:right w:val="single" w:sz="48" w:space="0" w:color="0000FF"/>
            </w:tcBorders>
            <w:shd w:val="solid" w:color="FFFFFF" w:fill="FF0000"/>
          </w:tcPr>
          <w:p w:rsidR="00D079E7" w:rsidRPr="00115A10" w:rsidRDefault="00D079E7" w:rsidP="00115A10">
            <w:pPr>
              <w:numPr>
                <w:ilvl w:val="0"/>
                <w:numId w:val="5"/>
              </w:numPr>
              <w:spacing w:after="60"/>
              <w:rPr>
                <w:sz w:val="20"/>
              </w:rPr>
            </w:pPr>
            <w:r w:rsidRPr="00115A10">
              <w:rPr>
                <w:sz w:val="20"/>
              </w:rPr>
              <w:t>Selbstschutz beachten; Verletzte</w:t>
            </w:r>
            <w:r w:rsidR="00326DFA" w:rsidRPr="00115A10">
              <w:rPr>
                <w:sz w:val="20"/>
              </w:rPr>
              <w:t>/n</w:t>
            </w:r>
            <w:r w:rsidRPr="00115A10">
              <w:rPr>
                <w:sz w:val="20"/>
              </w:rPr>
              <w:t xml:space="preserve"> bergen.</w:t>
            </w:r>
          </w:p>
          <w:p w:rsidR="00D079E7" w:rsidRPr="000F042D" w:rsidRDefault="00D079E7" w:rsidP="00115A10">
            <w:pPr>
              <w:numPr>
                <w:ilvl w:val="0"/>
                <w:numId w:val="5"/>
              </w:numPr>
              <w:spacing w:after="60"/>
              <w:rPr>
                <w:sz w:val="20"/>
              </w:rPr>
            </w:pPr>
            <w:r w:rsidRPr="000F042D">
              <w:rPr>
                <w:sz w:val="20"/>
              </w:rPr>
              <w:t>Verletzte</w:t>
            </w:r>
            <w:r w:rsidR="00326DFA">
              <w:rPr>
                <w:sz w:val="20"/>
              </w:rPr>
              <w:t>/n</w:t>
            </w:r>
            <w:r w:rsidRPr="000F042D">
              <w:rPr>
                <w:sz w:val="20"/>
              </w:rPr>
              <w:t xml:space="preserve"> beruhigen; Ersthelfer</w:t>
            </w:r>
            <w:r w:rsidR="00326DFA">
              <w:rPr>
                <w:sz w:val="20"/>
              </w:rPr>
              <w:t>/in</w:t>
            </w:r>
            <w:r w:rsidRPr="000F042D">
              <w:rPr>
                <w:sz w:val="20"/>
              </w:rPr>
              <w:t xml:space="preserve"> hinzuziehen</w:t>
            </w:r>
            <w:r>
              <w:rPr>
                <w:sz w:val="20"/>
              </w:rPr>
              <w:t>.</w:t>
            </w:r>
          </w:p>
          <w:p w:rsidR="00D079E7" w:rsidRPr="000F042D" w:rsidRDefault="00D079E7" w:rsidP="00115A10">
            <w:pPr>
              <w:numPr>
                <w:ilvl w:val="0"/>
                <w:numId w:val="5"/>
              </w:numPr>
              <w:spacing w:after="60"/>
              <w:rPr>
                <w:sz w:val="20"/>
              </w:rPr>
            </w:pPr>
            <w:r w:rsidRPr="000F042D">
              <w:rPr>
                <w:sz w:val="20"/>
              </w:rPr>
              <w:t>Erste Hilfe leisten, Rettungskette einleiten</w:t>
            </w:r>
            <w:r>
              <w:rPr>
                <w:sz w:val="20"/>
              </w:rPr>
              <w:t>.</w:t>
            </w:r>
          </w:p>
          <w:p w:rsidR="00D079E7" w:rsidRDefault="00D079E7" w:rsidP="00115A10">
            <w:pPr>
              <w:numPr>
                <w:ilvl w:val="0"/>
                <w:numId w:val="5"/>
              </w:numPr>
              <w:spacing w:after="60"/>
              <w:rPr>
                <w:sz w:val="20"/>
              </w:rPr>
            </w:pPr>
            <w:r w:rsidRPr="000F042D">
              <w:rPr>
                <w:sz w:val="20"/>
              </w:rPr>
              <w:t>Unfall d</w:t>
            </w:r>
            <w:r w:rsidR="00326DFA">
              <w:rPr>
                <w:sz w:val="20"/>
              </w:rPr>
              <w:t>er/d</w:t>
            </w:r>
            <w:r w:rsidRPr="000F042D">
              <w:rPr>
                <w:sz w:val="20"/>
              </w:rPr>
              <w:t>em nächsten Vorgesetzten melden und Verletzung im Verband</w:t>
            </w:r>
            <w:r w:rsidR="00326DFA">
              <w:rPr>
                <w:sz w:val="20"/>
              </w:rPr>
              <w:t>block</w:t>
            </w:r>
            <w:r w:rsidRPr="000F042D">
              <w:rPr>
                <w:sz w:val="20"/>
              </w:rPr>
              <w:t xml:space="preserve"> eintragen.</w:t>
            </w:r>
          </w:p>
          <w:p w:rsidR="00D079E7" w:rsidRDefault="00D079E7" w:rsidP="00D079E7">
            <w:pPr>
              <w:spacing w:after="60"/>
              <w:ind w:left="360"/>
              <w:rPr>
                <w:sz w:val="20"/>
              </w:rPr>
            </w:pPr>
          </w:p>
          <w:p w:rsidR="00D079E7" w:rsidRDefault="00D079E7" w:rsidP="00D079E7">
            <w:pPr>
              <w:tabs>
                <w:tab w:val="left" w:pos="3060"/>
              </w:tabs>
              <w:spacing w:after="60"/>
              <w:ind w:left="366"/>
              <w:rPr>
                <w:sz w:val="22"/>
              </w:rPr>
            </w:pPr>
            <w:r w:rsidRPr="0070141D">
              <w:rPr>
                <w:b/>
                <w:color w:val="FF0000"/>
                <w:sz w:val="32"/>
                <w:szCs w:val="32"/>
              </w:rPr>
              <w:t>Notr</w:t>
            </w:r>
            <w:r w:rsidRPr="00E142C8">
              <w:rPr>
                <w:b/>
                <w:color w:val="FF0000"/>
                <w:sz w:val="32"/>
              </w:rPr>
              <w:t>uf:</w:t>
            </w:r>
            <w:r>
              <w:rPr>
                <w:b/>
                <w:sz w:val="22"/>
              </w:rPr>
              <w:tab/>
            </w:r>
            <w:r w:rsidRPr="00E142C8">
              <w:rPr>
                <w:b/>
                <w:color w:val="00B050"/>
                <w:sz w:val="32"/>
              </w:rPr>
              <w:t>Ersthelfer</w:t>
            </w:r>
            <w:r>
              <w:rPr>
                <w:b/>
                <w:color w:val="00B050"/>
                <w:sz w:val="32"/>
              </w:rPr>
              <w:t>/in</w:t>
            </w:r>
            <w:r w:rsidRPr="00E142C8">
              <w:rPr>
                <w:b/>
                <w:color w:val="00B050"/>
                <w:sz w:val="32"/>
              </w:rPr>
              <w:t>:</w:t>
            </w:r>
          </w:p>
        </w:tc>
        <w:tc>
          <w:tcPr>
            <w:tcW w:w="1440" w:type="dxa"/>
            <w:tcBorders>
              <w:top w:val="nil"/>
              <w:left w:val="nil"/>
              <w:bottom w:val="nil"/>
              <w:right w:val="nil"/>
            </w:tcBorders>
          </w:tcPr>
          <w:p w:rsidR="00D079E7" w:rsidRDefault="00D079E7" w:rsidP="00D079E7"/>
        </w:tc>
      </w:tr>
      <w:tr w:rsidR="00D079E7" w:rsidTr="0070141D">
        <w:trPr>
          <w:trHeight w:val="413"/>
        </w:trPr>
        <w:tc>
          <w:tcPr>
            <w:tcW w:w="9912" w:type="dxa"/>
            <w:gridSpan w:val="5"/>
            <w:tcBorders>
              <w:top w:val="single" w:sz="48" w:space="0" w:color="0000FF"/>
              <w:left w:val="single" w:sz="48" w:space="0" w:color="0000FF"/>
              <w:bottom w:val="nil"/>
              <w:right w:val="single" w:sz="48" w:space="0" w:color="0000FF"/>
            </w:tcBorders>
            <w:shd w:val="solid" w:color="FFFFFF" w:fill="FF0000"/>
          </w:tcPr>
          <w:p w:rsidR="00D079E7" w:rsidRDefault="00D079E7" w:rsidP="00D079E7">
            <w:pPr>
              <w:jc w:val="center"/>
              <w:rPr>
                <w:b/>
                <w:color w:val="000000"/>
                <w:sz w:val="32"/>
              </w:rPr>
            </w:pPr>
            <w:r w:rsidRPr="00214735">
              <w:rPr>
                <w:b/>
                <w:color w:val="000000"/>
                <w:sz w:val="32"/>
              </w:rPr>
              <w:t>Zusätzliche notwendige Maßnahmen</w:t>
            </w:r>
          </w:p>
        </w:tc>
        <w:tc>
          <w:tcPr>
            <w:tcW w:w="1440" w:type="dxa"/>
            <w:tcBorders>
              <w:top w:val="nil"/>
              <w:left w:val="nil"/>
              <w:bottom w:val="nil"/>
              <w:right w:val="nil"/>
            </w:tcBorders>
          </w:tcPr>
          <w:p w:rsidR="00D079E7" w:rsidRDefault="00D079E7" w:rsidP="00D079E7"/>
        </w:tc>
        <w:tc>
          <w:tcPr>
            <w:tcW w:w="1442" w:type="dxa"/>
            <w:tcBorders>
              <w:left w:val="nil"/>
            </w:tcBorders>
          </w:tcPr>
          <w:p w:rsidR="00D079E7" w:rsidRDefault="00D079E7" w:rsidP="00D079E7"/>
        </w:tc>
      </w:tr>
      <w:tr w:rsidR="00D079E7" w:rsidTr="0070141D">
        <w:trPr>
          <w:gridAfter w:val="1"/>
          <w:wAfter w:w="1442" w:type="dxa"/>
        </w:trPr>
        <w:tc>
          <w:tcPr>
            <w:tcW w:w="981" w:type="dxa"/>
            <w:tcBorders>
              <w:top w:val="single" w:sz="12" w:space="0" w:color="0000FF"/>
              <w:left w:val="single" w:sz="48" w:space="0" w:color="0000FF"/>
              <w:bottom w:val="single" w:sz="48" w:space="0" w:color="0000FF"/>
              <w:right w:val="nil"/>
            </w:tcBorders>
            <w:shd w:val="solid" w:color="FFFFFF" w:fill="FF0000"/>
          </w:tcPr>
          <w:p w:rsidR="00D079E7" w:rsidRDefault="00115A10" w:rsidP="00D079E7">
            <w:pPr>
              <w:rPr>
                <w:b/>
                <w:color w:val="FFFFFF"/>
                <w:sz w:val="32"/>
              </w:rPr>
            </w:pPr>
            <w:r>
              <w:rPr>
                <w:b/>
                <w:noProof/>
                <w:color w:val="FFFFFF"/>
                <w:sz w:val="32"/>
              </w:rPr>
              <w:drawing>
                <wp:inline distT="0" distB="0" distL="0" distR="0" wp14:anchorId="7C72C5BD">
                  <wp:extent cx="201295" cy="45720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457200"/>
                          </a:xfrm>
                          <a:prstGeom prst="rect">
                            <a:avLst/>
                          </a:prstGeom>
                          <a:noFill/>
                        </pic:spPr>
                      </pic:pic>
                    </a:graphicData>
                  </a:graphic>
                </wp:inline>
              </w:drawing>
            </w:r>
            <w:r>
              <w:rPr>
                <w:b/>
                <w:noProof/>
                <w:color w:val="FFFFFF"/>
                <w:sz w:val="32"/>
              </w:rPr>
              <w:drawing>
                <wp:inline distT="0" distB="0" distL="0" distR="0" wp14:anchorId="08CBBF88">
                  <wp:extent cx="609600" cy="4387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438785"/>
                          </a:xfrm>
                          <a:prstGeom prst="rect">
                            <a:avLst/>
                          </a:prstGeom>
                          <a:noFill/>
                        </pic:spPr>
                      </pic:pic>
                    </a:graphicData>
                  </a:graphic>
                </wp:inline>
              </w:drawing>
            </w:r>
          </w:p>
        </w:tc>
        <w:tc>
          <w:tcPr>
            <w:tcW w:w="8931" w:type="dxa"/>
            <w:gridSpan w:val="4"/>
            <w:tcBorders>
              <w:top w:val="single" w:sz="12" w:space="0" w:color="0000FF"/>
              <w:left w:val="nil"/>
              <w:bottom w:val="single" w:sz="48" w:space="0" w:color="0000FF"/>
              <w:right w:val="single" w:sz="48" w:space="0" w:color="0000FF"/>
            </w:tcBorders>
            <w:shd w:val="solid" w:color="FFFFFF" w:fill="FF0000"/>
          </w:tcPr>
          <w:p w:rsidR="00115A10" w:rsidRPr="00115A10" w:rsidRDefault="00115A10" w:rsidP="00115A10">
            <w:pPr>
              <w:numPr>
                <w:ilvl w:val="0"/>
                <w:numId w:val="5"/>
              </w:numPr>
              <w:spacing w:after="60"/>
              <w:rPr>
                <w:sz w:val="20"/>
              </w:rPr>
            </w:pPr>
            <w:r w:rsidRPr="00115A10">
              <w:rPr>
                <w:sz w:val="20"/>
              </w:rPr>
              <w:t>Handschuhe in Originalverpackung licht- und temperaturgeschützt aufbewahren.</w:t>
            </w:r>
          </w:p>
          <w:p w:rsidR="00D079E7" w:rsidRDefault="00115A10" w:rsidP="00115A10">
            <w:pPr>
              <w:numPr>
                <w:ilvl w:val="0"/>
                <w:numId w:val="5"/>
              </w:numPr>
              <w:spacing w:after="60"/>
              <w:rPr>
                <w:sz w:val="20"/>
              </w:rPr>
            </w:pPr>
            <w:r w:rsidRPr="00115A10">
              <w:rPr>
                <w:sz w:val="20"/>
              </w:rPr>
              <w:t>Äußerlich verschmutzte Handschuhe mit Reinigungsmittel und Wasser reinigen.</w:t>
            </w:r>
          </w:p>
          <w:p w:rsidR="00115A10" w:rsidRPr="00115A10" w:rsidRDefault="00115A10" w:rsidP="00115A10">
            <w:pPr>
              <w:numPr>
                <w:ilvl w:val="0"/>
                <w:numId w:val="5"/>
              </w:numPr>
              <w:spacing w:after="60"/>
              <w:rPr>
                <w:sz w:val="20"/>
              </w:rPr>
            </w:pPr>
            <w:r w:rsidRPr="00115A10">
              <w:rPr>
                <w:sz w:val="20"/>
              </w:rPr>
              <w:t>Handschuhe vor dem</w:t>
            </w:r>
            <w:bookmarkStart w:id="0" w:name="_GoBack"/>
            <w:bookmarkEnd w:id="0"/>
            <w:r w:rsidRPr="00115A10">
              <w:rPr>
                <w:sz w:val="20"/>
              </w:rPr>
              <w:t xml:space="preserve"> Anlegen auf Beschädigungen und Undichtigkeiten prüfen (Augenschein, Druckprobe durch Aufblasen mit Luft). </w:t>
            </w:r>
          </w:p>
          <w:p w:rsidR="00115A10" w:rsidRDefault="00115A10" w:rsidP="00115A10">
            <w:pPr>
              <w:numPr>
                <w:ilvl w:val="0"/>
                <w:numId w:val="5"/>
              </w:numPr>
              <w:spacing w:after="60"/>
              <w:rPr>
                <w:sz w:val="20"/>
              </w:rPr>
            </w:pPr>
            <w:r w:rsidRPr="00115A10">
              <w:rPr>
                <w:sz w:val="20"/>
              </w:rPr>
              <w:t>Beim Ablegen nicht mit kontaminierten Fingern die Handschuhinnenseite berühren.</w:t>
            </w:r>
          </w:p>
        </w:tc>
        <w:tc>
          <w:tcPr>
            <w:tcW w:w="1440" w:type="dxa"/>
            <w:tcBorders>
              <w:top w:val="nil"/>
              <w:left w:val="nil"/>
              <w:bottom w:val="nil"/>
              <w:right w:val="nil"/>
            </w:tcBorders>
          </w:tcPr>
          <w:p w:rsidR="00D079E7" w:rsidRDefault="00D079E7" w:rsidP="00D079E7"/>
        </w:tc>
      </w:tr>
    </w:tbl>
    <w:p w:rsidR="0094747C" w:rsidRDefault="0094747C" w:rsidP="00E17AC6"/>
    <w:sectPr w:rsidR="0094747C" w:rsidSect="000C2D00">
      <w:footerReference w:type="default" r:id="rId14"/>
      <w:pgSz w:w="11907" w:h="16840"/>
      <w:pgMar w:top="567" w:right="567"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AA8" w:rsidRDefault="00B97AA8" w:rsidP="002D0A74">
      <w:r>
        <w:separator/>
      </w:r>
    </w:p>
  </w:endnote>
  <w:endnote w:type="continuationSeparator" w:id="0">
    <w:p w:rsidR="00B97AA8" w:rsidRDefault="00B97AA8" w:rsidP="002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B3A" w:rsidRDefault="003B4B3A" w:rsidP="003B4B3A">
    <w:pPr>
      <w:pStyle w:val="Fuzeile"/>
      <w:rPr>
        <w:sz w:val="18"/>
      </w:rPr>
    </w:pPr>
    <w:r>
      <w:rPr>
        <w:sz w:val="18"/>
      </w:rPr>
      <w:fldChar w:fldCharType="begin"/>
    </w:r>
    <w:r>
      <w:rPr>
        <w:sz w:val="18"/>
      </w:rPr>
      <w:instrText xml:space="preserve"> FILENAME \* MERGEFORMAT </w:instrText>
    </w:r>
    <w:r>
      <w:rPr>
        <w:sz w:val="18"/>
      </w:rPr>
      <w:fldChar w:fldCharType="separate"/>
    </w:r>
    <w:r w:rsidR="00115A10">
      <w:rPr>
        <w:noProof/>
        <w:sz w:val="18"/>
      </w:rPr>
      <w:t>5416-FB_BA_Schutzhandschuhe_Version_1.</w:t>
    </w:r>
    <w:r>
      <w:rPr>
        <w:noProof/>
        <w:sz w:val="18"/>
      </w:rPr>
      <w:t>0_</w:t>
    </w:r>
    <w:r w:rsidR="00115A10">
      <w:rPr>
        <w:noProof/>
        <w:sz w:val="18"/>
      </w:rPr>
      <w:t>2020-11-23</w:t>
    </w:r>
    <w:r>
      <w:rPr>
        <w:noProof/>
        <w:sz w:val="18"/>
      </w:rPr>
      <w:t>.docx</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AA8" w:rsidRDefault="00B97AA8" w:rsidP="002D0A74">
      <w:r>
        <w:separator/>
      </w:r>
    </w:p>
  </w:footnote>
  <w:footnote w:type="continuationSeparator" w:id="0">
    <w:p w:rsidR="00B97AA8" w:rsidRDefault="00B97AA8" w:rsidP="002D0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603"/>
    <w:multiLevelType w:val="singleLevel"/>
    <w:tmpl w:val="C082BE52"/>
    <w:lvl w:ilvl="0">
      <w:numFmt w:val="bullet"/>
      <w:lvlText w:val="-"/>
      <w:lvlJc w:val="left"/>
      <w:pPr>
        <w:tabs>
          <w:tab w:val="num" w:pos="360"/>
        </w:tabs>
        <w:ind w:left="360" w:hanging="360"/>
      </w:pPr>
      <w:rPr>
        <w:rFonts w:hint="default"/>
      </w:rPr>
    </w:lvl>
  </w:abstractNum>
  <w:abstractNum w:abstractNumId="1" w15:restartNumberingAfterBreak="0">
    <w:nsid w:val="09386C62"/>
    <w:multiLevelType w:val="hybridMultilevel"/>
    <w:tmpl w:val="6D70B9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F927AC"/>
    <w:multiLevelType w:val="hybridMultilevel"/>
    <w:tmpl w:val="3B2447C4"/>
    <w:lvl w:ilvl="0" w:tplc="FBF0EDA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245C4D"/>
    <w:multiLevelType w:val="hybridMultilevel"/>
    <w:tmpl w:val="904ADD5C"/>
    <w:lvl w:ilvl="0" w:tplc="04070001">
      <w:start w:val="1"/>
      <w:numFmt w:val="bullet"/>
      <w:lvlText w:val=""/>
      <w:lvlJc w:val="left"/>
      <w:pPr>
        <w:ind w:left="1228" w:hanging="360"/>
      </w:pPr>
      <w:rPr>
        <w:rFonts w:ascii="Symbol" w:hAnsi="Symbol" w:hint="default"/>
      </w:rPr>
    </w:lvl>
    <w:lvl w:ilvl="1" w:tplc="04070003" w:tentative="1">
      <w:start w:val="1"/>
      <w:numFmt w:val="bullet"/>
      <w:lvlText w:val="o"/>
      <w:lvlJc w:val="left"/>
      <w:pPr>
        <w:ind w:left="1948" w:hanging="360"/>
      </w:pPr>
      <w:rPr>
        <w:rFonts w:ascii="Courier New" w:hAnsi="Courier New" w:cs="Courier New" w:hint="default"/>
      </w:rPr>
    </w:lvl>
    <w:lvl w:ilvl="2" w:tplc="04070005" w:tentative="1">
      <w:start w:val="1"/>
      <w:numFmt w:val="bullet"/>
      <w:lvlText w:val=""/>
      <w:lvlJc w:val="left"/>
      <w:pPr>
        <w:ind w:left="2668" w:hanging="360"/>
      </w:pPr>
      <w:rPr>
        <w:rFonts w:ascii="Wingdings" w:hAnsi="Wingdings" w:hint="default"/>
      </w:rPr>
    </w:lvl>
    <w:lvl w:ilvl="3" w:tplc="04070001" w:tentative="1">
      <w:start w:val="1"/>
      <w:numFmt w:val="bullet"/>
      <w:lvlText w:val=""/>
      <w:lvlJc w:val="left"/>
      <w:pPr>
        <w:ind w:left="3388" w:hanging="360"/>
      </w:pPr>
      <w:rPr>
        <w:rFonts w:ascii="Symbol" w:hAnsi="Symbol" w:hint="default"/>
      </w:rPr>
    </w:lvl>
    <w:lvl w:ilvl="4" w:tplc="04070003" w:tentative="1">
      <w:start w:val="1"/>
      <w:numFmt w:val="bullet"/>
      <w:lvlText w:val="o"/>
      <w:lvlJc w:val="left"/>
      <w:pPr>
        <w:ind w:left="4108" w:hanging="360"/>
      </w:pPr>
      <w:rPr>
        <w:rFonts w:ascii="Courier New" w:hAnsi="Courier New" w:cs="Courier New" w:hint="default"/>
      </w:rPr>
    </w:lvl>
    <w:lvl w:ilvl="5" w:tplc="04070005" w:tentative="1">
      <w:start w:val="1"/>
      <w:numFmt w:val="bullet"/>
      <w:lvlText w:val=""/>
      <w:lvlJc w:val="left"/>
      <w:pPr>
        <w:ind w:left="4828" w:hanging="360"/>
      </w:pPr>
      <w:rPr>
        <w:rFonts w:ascii="Wingdings" w:hAnsi="Wingdings" w:hint="default"/>
      </w:rPr>
    </w:lvl>
    <w:lvl w:ilvl="6" w:tplc="04070001" w:tentative="1">
      <w:start w:val="1"/>
      <w:numFmt w:val="bullet"/>
      <w:lvlText w:val=""/>
      <w:lvlJc w:val="left"/>
      <w:pPr>
        <w:ind w:left="5548" w:hanging="360"/>
      </w:pPr>
      <w:rPr>
        <w:rFonts w:ascii="Symbol" w:hAnsi="Symbol" w:hint="default"/>
      </w:rPr>
    </w:lvl>
    <w:lvl w:ilvl="7" w:tplc="04070003" w:tentative="1">
      <w:start w:val="1"/>
      <w:numFmt w:val="bullet"/>
      <w:lvlText w:val="o"/>
      <w:lvlJc w:val="left"/>
      <w:pPr>
        <w:ind w:left="6268" w:hanging="360"/>
      </w:pPr>
      <w:rPr>
        <w:rFonts w:ascii="Courier New" w:hAnsi="Courier New" w:cs="Courier New" w:hint="default"/>
      </w:rPr>
    </w:lvl>
    <w:lvl w:ilvl="8" w:tplc="04070005" w:tentative="1">
      <w:start w:val="1"/>
      <w:numFmt w:val="bullet"/>
      <w:lvlText w:val=""/>
      <w:lvlJc w:val="left"/>
      <w:pPr>
        <w:ind w:left="6988" w:hanging="360"/>
      </w:pPr>
      <w:rPr>
        <w:rFonts w:ascii="Wingdings" w:hAnsi="Wingdings" w:hint="default"/>
      </w:rPr>
    </w:lvl>
  </w:abstractNum>
  <w:abstractNum w:abstractNumId="4" w15:restartNumberingAfterBreak="0">
    <w:nsid w:val="2DC4673B"/>
    <w:multiLevelType w:val="singleLevel"/>
    <w:tmpl w:val="C082BE52"/>
    <w:lvl w:ilvl="0">
      <w:numFmt w:val="bullet"/>
      <w:lvlText w:val="-"/>
      <w:lvlJc w:val="left"/>
      <w:pPr>
        <w:tabs>
          <w:tab w:val="num" w:pos="360"/>
        </w:tabs>
        <w:ind w:left="360" w:hanging="360"/>
      </w:pPr>
      <w:rPr>
        <w:rFonts w:hint="default"/>
      </w:rPr>
    </w:lvl>
  </w:abstractNum>
  <w:abstractNum w:abstractNumId="5" w15:restartNumberingAfterBreak="0">
    <w:nsid w:val="3FF30554"/>
    <w:multiLevelType w:val="hybridMultilevel"/>
    <w:tmpl w:val="22849478"/>
    <w:lvl w:ilvl="0" w:tplc="FBF0EDAA">
      <w:start w:val="1"/>
      <w:numFmt w:val="bullet"/>
      <w:lvlText w:val=""/>
      <w:lvlJc w:val="left"/>
      <w:pPr>
        <w:ind w:left="15385" w:hanging="360"/>
      </w:pPr>
      <w:rPr>
        <w:rFonts w:ascii="Wingdings" w:hAnsi="Wingdings" w:hint="default"/>
      </w:rPr>
    </w:lvl>
    <w:lvl w:ilvl="1" w:tplc="04070003" w:tentative="1">
      <w:start w:val="1"/>
      <w:numFmt w:val="bullet"/>
      <w:lvlText w:val="o"/>
      <w:lvlJc w:val="left"/>
      <w:pPr>
        <w:ind w:left="16105" w:hanging="360"/>
      </w:pPr>
      <w:rPr>
        <w:rFonts w:ascii="Courier New" w:hAnsi="Courier New" w:cs="Courier New" w:hint="default"/>
      </w:rPr>
    </w:lvl>
    <w:lvl w:ilvl="2" w:tplc="04070005" w:tentative="1">
      <w:start w:val="1"/>
      <w:numFmt w:val="bullet"/>
      <w:lvlText w:val=""/>
      <w:lvlJc w:val="left"/>
      <w:pPr>
        <w:ind w:left="16825" w:hanging="360"/>
      </w:pPr>
      <w:rPr>
        <w:rFonts w:ascii="Wingdings" w:hAnsi="Wingdings" w:hint="default"/>
      </w:rPr>
    </w:lvl>
    <w:lvl w:ilvl="3" w:tplc="04070001" w:tentative="1">
      <w:start w:val="1"/>
      <w:numFmt w:val="bullet"/>
      <w:lvlText w:val=""/>
      <w:lvlJc w:val="left"/>
      <w:pPr>
        <w:ind w:left="17545" w:hanging="360"/>
      </w:pPr>
      <w:rPr>
        <w:rFonts w:ascii="Symbol" w:hAnsi="Symbol" w:hint="default"/>
      </w:rPr>
    </w:lvl>
    <w:lvl w:ilvl="4" w:tplc="04070003" w:tentative="1">
      <w:start w:val="1"/>
      <w:numFmt w:val="bullet"/>
      <w:lvlText w:val="o"/>
      <w:lvlJc w:val="left"/>
      <w:pPr>
        <w:ind w:left="18265" w:hanging="360"/>
      </w:pPr>
      <w:rPr>
        <w:rFonts w:ascii="Courier New" w:hAnsi="Courier New" w:cs="Courier New" w:hint="default"/>
      </w:rPr>
    </w:lvl>
    <w:lvl w:ilvl="5" w:tplc="04070005" w:tentative="1">
      <w:start w:val="1"/>
      <w:numFmt w:val="bullet"/>
      <w:lvlText w:val=""/>
      <w:lvlJc w:val="left"/>
      <w:pPr>
        <w:ind w:left="18985" w:hanging="360"/>
      </w:pPr>
      <w:rPr>
        <w:rFonts w:ascii="Wingdings" w:hAnsi="Wingdings" w:hint="default"/>
      </w:rPr>
    </w:lvl>
    <w:lvl w:ilvl="6" w:tplc="04070001" w:tentative="1">
      <w:start w:val="1"/>
      <w:numFmt w:val="bullet"/>
      <w:lvlText w:val=""/>
      <w:lvlJc w:val="left"/>
      <w:pPr>
        <w:ind w:left="19705" w:hanging="360"/>
      </w:pPr>
      <w:rPr>
        <w:rFonts w:ascii="Symbol" w:hAnsi="Symbol" w:hint="default"/>
      </w:rPr>
    </w:lvl>
    <w:lvl w:ilvl="7" w:tplc="04070003" w:tentative="1">
      <w:start w:val="1"/>
      <w:numFmt w:val="bullet"/>
      <w:lvlText w:val="o"/>
      <w:lvlJc w:val="left"/>
      <w:pPr>
        <w:ind w:left="20425" w:hanging="360"/>
      </w:pPr>
      <w:rPr>
        <w:rFonts w:ascii="Courier New" w:hAnsi="Courier New" w:cs="Courier New" w:hint="default"/>
      </w:rPr>
    </w:lvl>
    <w:lvl w:ilvl="8" w:tplc="04070005" w:tentative="1">
      <w:start w:val="1"/>
      <w:numFmt w:val="bullet"/>
      <w:lvlText w:val=""/>
      <w:lvlJc w:val="left"/>
      <w:pPr>
        <w:ind w:left="21145" w:hanging="360"/>
      </w:pPr>
      <w:rPr>
        <w:rFonts w:ascii="Wingdings" w:hAnsi="Wingdings" w:hint="default"/>
      </w:rPr>
    </w:lvl>
  </w:abstractNum>
  <w:abstractNum w:abstractNumId="6" w15:restartNumberingAfterBreak="0">
    <w:nsid w:val="48773088"/>
    <w:multiLevelType w:val="singleLevel"/>
    <w:tmpl w:val="23E8FA04"/>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CC33DE9"/>
    <w:multiLevelType w:val="singleLevel"/>
    <w:tmpl w:val="C082BE52"/>
    <w:lvl w:ilvl="0">
      <w:numFmt w:val="bullet"/>
      <w:lvlText w:val="-"/>
      <w:lvlJc w:val="left"/>
      <w:pPr>
        <w:tabs>
          <w:tab w:val="num" w:pos="360"/>
        </w:tabs>
        <w:ind w:left="360" w:hanging="360"/>
      </w:pPr>
      <w:rPr>
        <w:rFonts w:hint="default"/>
      </w:rPr>
    </w:lvl>
  </w:abstractNum>
  <w:num w:numId="1">
    <w:abstractNumId w:val="6"/>
  </w:num>
  <w:num w:numId="2">
    <w:abstractNumId w:val="0"/>
  </w:num>
  <w:num w:numId="3">
    <w:abstractNumId w:val="4"/>
  </w:num>
  <w:num w:numId="4">
    <w:abstractNumId w:val="7"/>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15"/>
    <w:rsid w:val="000A7B15"/>
    <w:rsid w:val="000C2D00"/>
    <w:rsid w:val="000D1EB3"/>
    <w:rsid w:val="00115A10"/>
    <w:rsid w:val="00194D4A"/>
    <w:rsid w:val="00233C94"/>
    <w:rsid w:val="002D0A74"/>
    <w:rsid w:val="00326DFA"/>
    <w:rsid w:val="003B4B3A"/>
    <w:rsid w:val="004839CB"/>
    <w:rsid w:val="004A32DC"/>
    <w:rsid w:val="00671CB1"/>
    <w:rsid w:val="0069202E"/>
    <w:rsid w:val="0070141D"/>
    <w:rsid w:val="007578E8"/>
    <w:rsid w:val="00781F26"/>
    <w:rsid w:val="00896A61"/>
    <w:rsid w:val="0094747C"/>
    <w:rsid w:val="009544F3"/>
    <w:rsid w:val="009D2C87"/>
    <w:rsid w:val="00B53416"/>
    <w:rsid w:val="00B67950"/>
    <w:rsid w:val="00B97AA8"/>
    <w:rsid w:val="00D079E7"/>
    <w:rsid w:val="00D24D60"/>
    <w:rsid w:val="00D3586E"/>
    <w:rsid w:val="00E17AC6"/>
    <w:rsid w:val="00E23C9A"/>
    <w:rsid w:val="00E72985"/>
    <w:rsid w:val="00FA6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30FDEB"/>
  <w15:docId w15:val="{2E835E26-EB8C-4BBF-86AC-16558A6A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B15"/>
    <w:pPr>
      <w:spacing w:after="0"/>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7B15"/>
    <w:pPr>
      <w:tabs>
        <w:tab w:val="center" w:pos="4536"/>
        <w:tab w:val="right" w:pos="9072"/>
      </w:tabs>
    </w:pPr>
  </w:style>
  <w:style w:type="character" w:customStyle="1" w:styleId="FuzeileZchn">
    <w:name w:val="Fußzeile Zchn"/>
    <w:basedOn w:val="Absatz-Standardschriftart"/>
    <w:link w:val="Fuzeile"/>
    <w:rsid w:val="000A7B15"/>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0A7B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B1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2D0A74"/>
    <w:pPr>
      <w:tabs>
        <w:tab w:val="center" w:pos="4536"/>
        <w:tab w:val="right" w:pos="9072"/>
      </w:tabs>
    </w:pPr>
  </w:style>
  <w:style w:type="character" w:customStyle="1" w:styleId="KopfzeileZchn">
    <w:name w:val="Kopfzeile Zchn"/>
    <w:basedOn w:val="Absatz-Standardschriftart"/>
    <w:link w:val="Kopfzeile"/>
    <w:uiPriority w:val="99"/>
    <w:rsid w:val="002D0A74"/>
    <w:rPr>
      <w:rFonts w:eastAsia="Times New Roman" w:cs="Times New Roman"/>
      <w:sz w:val="24"/>
      <w:szCs w:val="20"/>
      <w:lang w:eastAsia="de-DE"/>
    </w:rPr>
  </w:style>
  <w:style w:type="paragraph" w:styleId="Listenabsatz">
    <w:name w:val="List Paragraph"/>
    <w:basedOn w:val="Standard"/>
    <w:uiPriority w:val="34"/>
    <w:qFormat/>
    <w:rsid w:val="00D0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2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BAD GmbH</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prgadmin</dc:creator>
  <cp:lastModifiedBy>Angeli, Chiara - 21640 Personalentwicklung und Gesundheit</cp:lastModifiedBy>
  <cp:revision>2</cp:revision>
  <dcterms:created xsi:type="dcterms:W3CDTF">2020-11-23T13:13:00Z</dcterms:created>
  <dcterms:modified xsi:type="dcterms:W3CDTF">2020-11-23T13:13:00Z</dcterms:modified>
</cp:coreProperties>
</file>