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3B4B3A" w:rsidRDefault="000A7B15" w:rsidP="001726F6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  </w:t>
            </w:r>
            <w:r w:rsidR="001726F6">
              <w:t xml:space="preserve">        </w:t>
            </w:r>
            <w:r w:rsidR="00194D4A">
              <w:t xml:space="preserve"> </w:t>
            </w:r>
            <w:r w:rsidR="001726F6">
              <w:rPr>
                <w:b/>
                <w:sz w:val="28"/>
                <w:szCs w:val="28"/>
              </w:rPr>
              <w:t xml:space="preserve">Reifenmontagearbeiten 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4699212</wp:posOffset>
                  </wp:positionH>
                  <wp:positionV relativeFrom="paragraph">
                    <wp:posOffset>-29667</wp:posOffset>
                  </wp:positionV>
                  <wp:extent cx="580143" cy="584200"/>
                  <wp:effectExtent l="0" t="0" r="0" b="635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43" cy="58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6F6">
              <w:rPr>
                <w:sz w:val="20"/>
              </w:rPr>
              <w:t>Gefahr durch Lärm</w:t>
            </w:r>
          </w:p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>Gefahr durch unkontrolliert bewegte Teile</w:t>
            </w:r>
          </w:p>
          <w:p w:rsidR="00D079E7" w:rsidRPr="00D079E7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>Gefahr durch belastete Stäube der Bremsanlage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1726F6" w:rsidP="007578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128693</wp:posOffset>
                  </wp:positionV>
                  <wp:extent cx="618067" cy="618067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01" cy="618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26F6" w:rsidRDefault="001726F6" w:rsidP="00D079E7">
            <w:pPr>
              <w:jc w:val="center"/>
              <w:rPr>
                <w:b/>
                <w:sz w:val="22"/>
              </w:rPr>
            </w:pPr>
          </w:p>
          <w:p w:rsidR="001726F6" w:rsidRPr="001726F6" w:rsidRDefault="001726F6" w:rsidP="001726F6">
            <w:pPr>
              <w:rPr>
                <w:sz w:val="22"/>
              </w:rPr>
            </w:pPr>
          </w:p>
          <w:p w:rsidR="001726F6" w:rsidRPr="001726F6" w:rsidRDefault="001726F6" w:rsidP="001726F6">
            <w:pPr>
              <w:rPr>
                <w:sz w:val="22"/>
              </w:rPr>
            </w:pPr>
          </w:p>
          <w:p w:rsidR="001726F6" w:rsidRPr="001726F6" w:rsidRDefault="001726F6" w:rsidP="001726F6">
            <w:pPr>
              <w:rPr>
                <w:sz w:val="22"/>
              </w:rPr>
            </w:pPr>
          </w:p>
          <w:p w:rsidR="001726F6" w:rsidRPr="001726F6" w:rsidRDefault="001726F6" w:rsidP="001726F6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91228</wp:posOffset>
                  </wp:positionV>
                  <wp:extent cx="609600" cy="60960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26F6" w:rsidRDefault="001726F6" w:rsidP="001726F6">
            <w:pPr>
              <w:rPr>
                <w:sz w:val="22"/>
              </w:rPr>
            </w:pPr>
          </w:p>
          <w:p w:rsidR="001726F6" w:rsidRDefault="001726F6" w:rsidP="001726F6">
            <w:pPr>
              <w:rPr>
                <w:sz w:val="22"/>
              </w:rPr>
            </w:pPr>
          </w:p>
          <w:p w:rsidR="00D079E7" w:rsidRPr="001726F6" w:rsidRDefault="001726F6" w:rsidP="001726F6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-3387</wp:posOffset>
                  </wp:positionH>
                  <wp:positionV relativeFrom="paragraph">
                    <wp:posOffset>379730</wp:posOffset>
                  </wp:positionV>
                  <wp:extent cx="626533" cy="626533"/>
                  <wp:effectExtent l="0" t="0" r="2540" b="254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33" cy="626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 xml:space="preserve">Tragen von enganliegender Kleidung </w:t>
            </w:r>
          </w:p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>Bei der Arbeit keine Armbanduhr, Ringe, Ketten oder ähnliche Schmuckstücke tragen</w:t>
            </w:r>
          </w:p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>Gehörschutz und Schutzbrille tragen.</w:t>
            </w:r>
          </w:p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>Längere Haare sind durch ein Haarnetz oder sonstige Maßnahmen zu sichern</w:t>
            </w:r>
          </w:p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>Nur Schlagschrauber verwenden, die Luft nicht auf die Felge blasen.</w:t>
            </w:r>
          </w:p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>Zur Vermeidung von Staubbildung die Felgen und Reifen nur nass reinigen; wenn möglich Radwaschanlagen nutzen.</w:t>
            </w:r>
          </w:p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>Vorgeschädigte Reifen sind unbrauchbar zu machen.</w:t>
            </w:r>
          </w:p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 xml:space="preserve">Beim Aufpumpen des Reifens Schutzeinrichtung zum Auffangen wegfliegender Teile aufstellen. Personen aus dem Gefahrenbereich fernhalten. </w:t>
            </w:r>
          </w:p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 xml:space="preserve">Das Befüllen des Reifens muss überwacht werden und die höchstzulässigen Montage-Luftdrücke dürfen nicht überschritten werden. </w:t>
            </w:r>
          </w:p>
          <w:p w:rsidR="001726F6" w:rsidRPr="001726F6" w:rsidRDefault="001726F6" w:rsidP="001726F6">
            <w:pPr>
              <w:spacing w:after="60"/>
              <w:ind w:left="225"/>
              <w:rPr>
                <w:b/>
                <w:sz w:val="20"/>
              </w:rPr>
            </w:pPr>
            <w:r w:rsidRPr="001726F6">
              <w:rPr>
                <w:b/>
                <w:sz w:val="20"/>
              </w:rPr>
              <w:t>Bei großen Rädern von LKW und selbstfahrenden Arbeitsmaschinen:</w:t>
            </w:r>
          </w:p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 xml:space="preserve">An </w:t>
            </w:r>
            <w:proofErr w:type="spellStart"/>
            <w:r w:rsidRPr="001726F6">
              <w:rPr>
                <w:sz w:val="20"/>
              </w:rPr>
              <w:t>Reifenmontiermaschinen</w:t>
            </w:r>
            <w:proofErr w:type="spellEnd"/>
            <w:r w:rsidRPr="001726F6">
              <w:rPr>
                <w:sz w:val="20"/>
              </w:rPr>
              <w:t xml:space="preserve"> mit senkrecht stehenden Rädern müssen die Arbeiten mit schweren Reifen (z.B. EM Reifen) von 2 Personen durchgeführt werden.</w:t>
            </w:r>
          </w:p>
          <w:p w:rsidR="00D079E7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>Bei Reifen mit einem Durchmesser &gt; 1,4 m oder einem Gewicht &gt; 200 kg müssen Einrichtungen zum Schutz vor dem Umfallen eingesetzt werden.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>Mängel an dem Wagenheber sind umgehend der Technik zu melden</w:t>
            </w:r>
          </w:p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 xml:space="preserve">Maschine ausschalten und vor unbefugtem Wiederanschalten sichern </w:t>
            </w:r>
          </w:p>
          <w:p w:rsidR="00D079E7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>Schäden nur von Fachpersonal beseitigen lassen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 xml:space="preserve">Ersthelfer informieren (siehe Alarmplan). </w:t>
            </w:r>
          </w:p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 xml:space="preserve">Verletzungen sofort versorgen. </w:t>
            </w:r>
          </w:p>
          <w:p w:rsidR="00D079E7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>Eintragung in das Verbandbuch vornehmen</w:t>
            </w:r>
          </w:p>
          <w:p w:rsidR="001726F6" w:rsidRDefault="001726F6" w:rsidP="001726F6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>Instandsetzung nur durch beauftragte und unterwiesene Personen</w:t>
            </w:r>
          </w:p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>Bei Rüst- Einstellungs-, Wartungs- und Pflegearbeiten Maschine vom Netz trennen bzw. sichern</w:t>
            </w:r>
          </w:p>
          <w:p w:rsidR="001726F6" w:rsidRPr="001726F6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726F6">
              <w:rPr>
                <w:sz w:val="20"/>
              </w:rPr>
              <w:t>Maschine nach Arbeitsende reinigen</w:t>
            </w:r>
          </w:p>
          <w:p w:rsidR="00D079E7" w:rsidRDefault="001726F6" w:rsidP="001726F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bookmarkStart w:id="0" w:name="_GoBack"/>
            <w:bookmarkEnd w:id="0"/>
            <w:r w:rsidRPr="001726F6">
              <w:rPr>
                <w:b/>
                <w:sz w:val="20"/>
              </w:rPr>
              <w:t>regelmäßiger E-Check</w:t>
            </w:r>
            <w:r w:rsidRPr="001726F6">
              <w:rPr>
                <w:sz w:val="20"/>
              </w:rPr>
              <w:t xml:space="preserve"> der Geräte durch eine Elektrofachkraft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1726F6"/>
    <w:sectPr w:rsidR="0094747C" w:rsidSect="000C2D00">
      <w:footerReference w:type="default" r:id="rId14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3A" w:rsidRDefault="003B4B3A" w:rsidP="003B4B3A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1726F6">
      <w:rPr>
        <w:noProof/>
        <w:sz w:val="18"/>
      </w:rPr>
      <w:t>5418-FB_BA_Reifenmontagearbeiten_Version_1.0_2020-11-23</w:t>
    </w:r>
    <w:r>
      <w:rPr>
        <w:noProof/>
        <w:sz w:val="18"/>
      </w:rPr>
      <w:t>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726F6"/>
    <w:rsid w:val="00194D4A"/>
    <w:rsid w:val="00233C94"/>
    <w:rsid w:val="002D0A74"/>
    <w:rsid w:val="00326DFA"/>
    <w:rsid w:val="003B4B3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B53416"/>
    <w:rsid w:val="00B67950"/>
    <w:rsid w:val="00B97AA8"/>
    <w:rsid w:val="00D079E7"/>
    <w:rsid w:val="00D24D60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28222AA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2020-11-23T13:24:00Z</dcterms:created>
  <dcterms:modified xsi:type="dcterms:W3CDTF">2020-11-23T13:24:00Z</dcterms:modified>
</cp:coreProperties>
</file>