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94" w:type="dxa"/>
        <w:tblInd w:w="224" w:type="dxa"/>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ayout w:type="fixed"/>
        <w:tblCellMar>
          <w:left w:w="70" w:type="dxa"/>
          <w:right w:w="70" w:type="dxa"/>
        </w:tblCellMar>
        <w:tblLook w:val="0000" w:firstRow="0" w:lastRow="0" w:firstColumn="0" w:lastColumn="0" w:noHBand="0" w:noVBand="0"/>
      </w:tblPr>
      <w:tblGrid>
        <w:gridCol w:w="981"/>
        <w:gridCol w:w="2834"/>
        <w:gridCol w:w="3828"/>
        <w:gridCol w:w="1135"/>
        <w:gridCol w:w="1134"/>
        <w:gridCol w:w="1440"/>
        <w:gridCol w:w="1442"/>
      </w:tblGrid>
      <w:tr w:rsidR="000A7B15" w:rsidTr="0070141D">
        <w:trPr>
          <w:gridAfter w:val="2"/>
          <w:wAfter w:w="2882" w:type="dxa"/>
        </w:trPr>
        <w:tc>
          <w:tcPr>
            <w:tcW w:w="3815" w:type="dxa"/>
            <w:gridSpan w:val="2"/>
            <w:tcBorders>
              <w:top w:val="single" w:sz="48" w:space="0" w:color="0000FF"/>
              <w:left w:val="single" w:sz="48" w:space="0" w:color="0000FF"/>
              <w:bottom w:val="nil"/>
              <w:right w:val="nil"/>
            </w:tcBorders>
            <w:shd w:val="solid" w:color="FFFFFF" w:fill="auto"/>
          </w:tcPr>
          <w:p w:rsidR="000A7B15" w:rsidRDefault="00233C94" w:rsidP="008271F6">
            <w:pPr>
              <w:tabs>
                <w:tab w:val="left" w:pos="498"/>
              </w:tabs>
              <w:rPr>
                <w:sz w:val="22"/>
              </w:rPr>
            </w:pPr>
            <w:r>
              <w:rPr>
                <w:noProof/>
              </w:rPr>
              <w:drawing>
                <wp:anchor distT="0" distB="0" distL="114300" distR="114300" simplePos="0" relativeHeight="251658240" behindDoc="0" locked="0" layoutInCell="1" allowOverlap="1">
                  <wp:simplePos x="0" y="0"/>
                  <wp:positionH relativeFrom="page">
                    <wp:posOffset>635</wp:posOffset>
                  </wp:positionH>
                  <wp:positionV relativeFrom="paragraph">
                    <wp:posOffset>-3810</wp:posOffset>
                  </wp:positionV>
                  <wp:extent cx="2340000" cy="327600"/>
                  <wp:effectExtent l="0" t="0" r="3175" b="0"/>
                  <wp:wrapNone/>
                  <wp:docPr id="4" name="Grafik 4" descr="http://egv-portal/VisImport_EGV_Prod/Verwaltung/Corporate%20Design/Logo-Druck/EBK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v-portal/VisImport_EGV_Prod/Verwaltung/Corporate%20Design/Logo-Druck/EBK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000" cy="327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tcBorders>
              <w:top w:val="single" w:sz="48" w:space="0" w:color="0000FF"/>
              <w:left w:val="single" w:sz="18" w:space="0" w:color="0000FF"/>
              <w:bottom w:val="nil"/>
              <w:right w:val="single" w:sz="18" w:space="0" w:color="0000FF"/>
            </w:tcBorders>
            <w:shd w:val="solid" w:color="FFFFFF" w:fill="auto"/>
          </w:tcPr>
          <w:p w:rsidR="000A7B15" w:rsidRDefault="000A7B15" w:rsidP="008271F6">
            <w:pPr>
              <w:jc w:val="center"/>
              <w:rPr>
                <w:b/>
                <w:sz w:val="32"/>
              </w:rPr>
            </w:pPr>
            <w:r>
              <w:rPr>
                <w:b/>
                <w:sz w:val="32"/>
              </w:rPr>
              <w:t>BETRIEBSANWEISUNG</w:t>
            </w:r>
          </w:p>
          <w:p w:rsidR="00781F26" w:rsidRDefault="000A7B15" w:rsidP="008271F6">
            <w:pPr>
              <w:rPr>
                <w:sz w:val="22"/>
              </w:rPr>
            </w:pPr>
            <w:r>
              <w:rPr>
                <w:sz w:val="22"/>
              </w:rPr>
              <w:t>Geltungs</w:t>
            </w:r>
            <w:r w:rsidR="00781F26">
              <w:rPr>
                <w:sz w:val="22"/>
              </w:rPr>
              <w:t>-</w:t>
            </w:r>
          </w:p>
          <w:p w:rsidR="000A7B15" w:rsidRDefault="000A7B15" w:rsidP="008271F6">
            <w:pPr>
              <w:rPr>
                <w:sz w:val="22"/>
              </w:rPr>
            </w:pPr>
            <w:proofErr w:type="spellStart"/>
            <w:r>
              <w:rPr>
                <w:sz w:val="22"/>
              </w:rPr>
              <w:t>bereich</w:t>
            </w:r>
            <w:proofErr w:type="spellEnd"/>
            <w:r>
              <w:rPr>
                <w:sz w:val="22"/>
              </w:rPr>
              <w:t xml:space="preserve">: </w:t>
            </w:r>
          </w:p>
        </w:tc>
        <w:tc>
          <w:tcPr>
            <w:tcW w:w="2269" w:type="dxa"/>
            <w:gridSpan w:val="2"/>
            <w:tcBorders>
              <w:top w:val="single" w:sz="48" w:space="0" w:color="0000FF"/>
              <w:left w:val="nil"/>
              <w:bottom w:val="nil"/>
              <w:right w:val="single" w:sz="48" w:space="0" w:color="0000FF"/>
            </w:tcBorders>
            <w:shd w:val="solid" w:color="FFFFFF" w:fill="auto"/>
          </w:tcPr>
          <w:p w:rsidR="000A7B15" w:rsidRDefault="000A7B15" w:rsidP="008271F6">
            <w:pPr>
              <w:rPr>
                <w:sz w:val="22"/>
              </w:rPr>
            </w:pPr>
            <w:r>
              <w:rPr>
                <w:sz w:val="22"/>
              </w:rPr>
              <w:t xml:space="preserve">Datum: </w:t>
            </w:r>
          </w:p>
          <w:p w:rsidR="000A7B15" w:rsidRDefault="000A7B15" w:rsidP="008271F6">
            <w:pPr>
              <w:spacing w:before="120"/>
              <w:rPr>
                <w:sz w:val="22"/>
              </w:rPr>
            </w:pPr>
            <w:r>
              <w:rPr>
                <w:sz w:val="22"/>
              </w:rPr>
              <w:t>................................</w:t>
            </w:r>
          </w:p>
          <w:p w:rsidR="000A7B15" w:rsidRDefault="000A7B15" w:rsidP="008271F6">
            <w:pPr>
              <w:rPr>
                <w:sz w:val="22"/>
              </w:rPr>
            </w:pPr>
            <w:r>
              <w:rPr>
                <w:sz w:val="16"/>
              </w:rPr>
              <w:t>Unterschrift Verantwortliche</w:t>
            </w:r>
            <w:r w:rsidR="00D079E7">
              <w:rPr>
                <w:sz w:val="16"/>
              </w:rPr>
              <w:t>/</w:t>
            </w:r>
            <w:r>
              <w:rPr>
                <w:sz w:val="16"/>
              </w:rPr>
              <w:t>r</w:t>
            </w:r>
          </w:p>
        </w:tc>
      </w:tr>
      <w:tr w:rsidR="000A7B15" w:rsidTr="0070141D">
        <w:tc>
          <w:tcPr>
            <w:tcW w:w="9912" w:type="dxa"/>
            <w:gridSpan w:val="5"/>
            <w:tcBorders>
              <w:top w:val="single" w:sz="48" w:space="0" w:color="0000FF"/>
              <w:left w:val="single" w:sz="48" w:space="0" w:color="0000FF"/>
              <w:bottom w:val="nil"/>
              <w:right w:val="single" w:sz="48" w:space="0" w:color="0000FF"/>
            </w:tcBorders>
            <w:shd w:val="clear" w:color="FF0000" w:fill="auto"/>
          </w:tcPr>
          <w:p w:rsidR="000A7B15" w:rsidRDefault="000A7B15" w:rsidP="008271F6">
            <w:pPr>
              <w:jc w:val="center"/>
              <w:rPr>
                <w:b/>
                <w:color w:val="000000"/>
                <w:sz w:val="32"/>
              </w:rPr>
            </w:pPr>
            <w:r>
              <w:rPr>
                <w:b/>
                <w:color w:val="000000"/>
                <w:sz w:val="32"/>
              </w:rPr>
              <w:t>Anwendungsbereich</w:t>
            </w:r>
          </w:p>
        </w:tc>
        <w:tc>
          <w:tcPr>
            <w:tcW w:w="1440" w:type="dxa"/>
            <w:tcBorders>
              <w:top w:val="nil"/>
              <w:left w:val="nil"/>
              <w:bottom w:val="nil"/>
              <w:right w:val="nil"/>
            </w:tcBorders>
          </w:tcPr>
          <w:p w:rsidR="000A7B15" w:rsidRDefault="000A7B15" w:rsidP="008271F6"/>
        </w:tc>
        <w:tc>
          <w:tcPr>
            <w:tcW w:w="1442" w:type="dxa"/>
            <w:tcBorders>
              <w:left w:val="nil"/>
            </w:tcBorders>
          </w:tcPr>
          <w:p w:rsidR="000A7B15" w:rsidRDefault="000A7B15" w:rsidP="008271F6"/>
        </w:tc>
      </w:tr>
      <w:tr w:rsidR="000A7B15" w:rsidTr="0070141D">
        <w:tblPrEx>
          <w:tblCellMar>
            <w:left w:w="71" w:type="dxa"/>
            <w:right w:w="71" w:type="dxa"/>
          </w:tblCellMar>
        </w:tblPrEx>
        <w:trPr>
          <w:gridAfter w:val="2"/>
          <w:wAfter w:w="2882" w:type="dxa"/>
        </w:trPr>
        <w:tc>
          <w:tcPr>
            <w:tcW w:w="981" w:type="dxa"/>
            <w:tcBorders>
              <w:top w:val="single" w:sz="12" w:space="0" w:color="0000FF"/>
              <w:left w:val="single" w:sz="48" w:space="0" w:color="0000FF"/>
              <w:bottom w:val="nil"/>
              <w:right w:val="nil"/>
            </w:tcBorders>
            <w:shd w:val="solid" w:color="FFFFFF" w:fill="auto"/>
          </w:tcPr>
          <w:p w:rsidR="000A7B15" w:rsidRDefault="000A7B15" w:rsidP="008271F6">
            <w:pPr>
              <w:spacing w:before="60" w:after="60"/>
              <w:jc w:val="center"/>
              <w:rPr>
                <w:b/>
                <w:sz w:val="22"/>
              </w:rPr>
            </w:pPr>
          </w:p>
        </w:tc>
        <w:tc>
          <w:tcPr>
            <w:tcW w:w="8931" w:type="dxa"/>
            <w:gridSpan w:val="4"/>
            <w:tcBorders>
              <w:top w:val="single" w:sz="12" w:space="0" w:color="0000FF"/>
              <w:left w:val="nil"/>
              <w:bottom w:val="nil"/>
              <w:right w:val="single" w:sz="48" w:space="0" w:color="0000FF"/>
            </w:tcBorders>
            <w:shd w:val="solid" w:color="FFFFFF" w:fill="auto"/>
          </w:tcPr>
          <w:p w:rsidR="000A7B15" w:rsidRPr="003B4B3A" w:rsidRDefault="000A7B15" w:rsidP="00436657">
            <w:pPr>
              <w:spacing w:before="60" w:after="60"/>
              <w:rPr>
                <w:b/>
                <w:sz w:val="28"/>
                <w:szCs w:val="28"/>
              </w:rPr>
            </w:pPr>
            <w:r>
              <w:t xml:space="preserve"> </w:t>
            </w:r>
            <w:r w:rsidR="00194D4A">
              <w:t xml:space="preserve">                         </w:t>
            </w:r>
            <w:r w:rsidR="00436657">
              <w:rPr>
                <w:b/>
                <w:sz w:val="28"/>
                <w:szCs w:val="28"/>
              </w:rPr>
              <w:t>Reinigungs- und Pflegemittel</w:t>
            </w:r>
          </w:p>
        </w:tc>
      </w:tr>
      <w:tr w:rsidR="00D079E7" w:rsidTr="0070141D">
        <w:tc>
          <w:tcPr>
            <w:tcW w:w="9912" w:type="dxa"/>
            <w:gridSpan w:val="5"/>
            <w:tcBorders>
              <w:top w:val="single" w:sz="48" w:space="0" w:color="0000FF"/>
              <w:left w:val="single" w:sz="48" w:space="0" w:color="0000FF"/>
              <w:bottom w:val="nil"/>
              <w:right w:val="single" w:sz="48" w:space="0" w:color="0000FF"/>
            </w:tcBorders>
            <w:shd w:val="clear" w:color="FF0000" w:fill="auto"/>
          </w:tcPr>
          <w:p w:rsidR="00D079E7" w:rsidRDefault="00D079E7" w:rsidP="00D079E7">
            <w:pPr>
              <w:jc w:val="center"/>
              <w:rPr>
                <w:b/>
                <w:color w:val="000000"/>
                <w:sz w:val="32"/>
              </w:rPr>
            </w:pPr>
            <w:r w:rsidRPr="00214735">
              <w:rPr>
                <w:b/>
                <w:color w:val="000000"/>
                <w:sz w:val="32"/>
              </w:rPr>
              <w:t>Gefahren für die Beschäftigten</w:t>
            </w:r>
            <w:r>
              <w:rPr>
                <w:b/>
                <w:color w:val="000000"/>
                <w:sz w:val="32"/>
              </w:rPr>
              <w:t xml:space="preserve"> und die Umwelt</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nil"/>
              <w:right w:val="nil"/>
            </w:tcBorders>
            <w:shd w:val="clear" w:color="FF0000" w:fill="auto"/>
          </w:tcPr>
          <w:p w:rsidR="00436657" w:rsidRDefault="00D079E7" w:rsidP="00D079E7">
            <w:pPr>
              <w:jc w:val="center"/>
              <w:rPr>
                <w:b/>
                <w:color w:val="FFFFFF"/>
                <w:sz w:val="22"/>
              </w:rPr>
            </w:pPr>
            <w:r>
              <w:rPr>
                <w:b/>
                <w:noProof/>
                <w:color w:val="FFFFFF"/>
                <w:sz w:val="22"/>
              </w:rPr>
              <w:drawing>
                <wp:anchor distT="0" distB="0" distL="114300" distR="114300" simplePos="0" relativeHeight="251661312" behindDoc="0" locked="0" layoutInCell="1" allowOverlap="1" wp14:anchorId="613FC2A3" wp14:editId="661ACA45">
                  <wp:simplePos x="0" y="0"/>
                  <wp:positionH relativeFrom="column">
                    <wp:posOffset>-3175</wp:posOffset>
                  </wp:positionH>
                  <wp:positionV relativeFrom="paragraph">
                    <wp:posOffset>3810</wp:posOffset>
                  </wp:positionV>
                  <wp:extent cx="632460" cy="548640"/>
                  <wp:effectExtent l="0" t="0" r="0" b="3810"/>
                  <wp:wrapNone/>
                  <wp:docPr id="5" name="Grafik 5" descr="W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657" w:rsidRPr="00436657" w:rsidRDefault="00436657" w:rsidP="00436657">
            <w:pPr>
              <w:rPr>
                <w:sz w:val="22"/>
              </w:rPr>
            </w:pPr>
          </w:p>
          <w:p w:rsidR="00436657" w:rsidRPr="00436657" w:rsidRDefault="00436657" w:rsidP="00436657">
            <w:pPr>
              <w:rPr>
                <w:sz w:val="22"/>
              </w:rPr>
            </w:pPr>
          </w:p>
          <w:p w:rsidR="00436657" w:rsidRDefault="00436657" w:rsidP="00436657">
            <w:pPr>
              <w:rPr>
                <w:sz w:val="22"/>
              </w:rPr>
            </w:pPr>
          </w:p>
          <w:p w:rsidR="00D079E7" w:rsidRPr="00436657" w:rsidRDefault="00D079E7" w:rsidP="00436657">
            <w:pPr>
              <w:rPr>
                <w:sz w:val="22"/>
              </w:rPr>
            </w:pPr>
          </w:p>
        </w:tc>
        <w:tc>
          <w:tcPr>
            <w:tcW w:w="8931" w:type="dxa"/>
            <w:gridSpan w:val="4"/>
            <w:tcBorders>
              <w:top w:val="single" w:sz="12" w:space="0" w:color="0000FF"/>
              <w:left w:val="nil"/>
              <w:bottom w:val="nil"/>
              <w:right w:val="single" w:sz="48" w:space="0" w:color="0000FF"/>
            </w:tcBorders>
            <w:shd w:val="clear" w:color="FF0000" w:fill="auto"/>
          </w:tcPr>
          <w:p w:rsidR="00436657" w:rsidRPr="00436657" w:rsidRDefault="00436657" w:rsidP="00436657">
            <w:pPr>
              <w:numPr>
                <w:ilvl w:val="0"/>
                <w:numId w:val="5"/>
              </w:numPr>
              <w:spacing w:after="60"/>
              <w:ind w:left="508" w:hanging="283"/>
              <w:rPr>
                <w:sz w:val="20"/>
              </w:rPr>
            </w:pPr>
            <w:r>
              <w:rPr>
                <w:noProof/>
                <w:sz w:val="22"/>
              </w:rPr>
              <w:drawing>
                <wp:anchor distT="0" distB="0" distL="114300" distR="114300" simplePos="0" relativeHeight="251664384" behindDoc="0" locked="0" layoutInCell="1" allowOverlap="1">
                  <wp:simplePos x="0" y="0"/>
                  <wp:positionH relativeFrom="column">
                    <wp:posOffset>4865581</wp:posOffset>
                  </wp:positionH>
                  <wp:positionV relativeFrom="paragraph">
                    <wp:posOffset>424</wp:posOffset>
                  </wp:positionV>
                  <wp:extent cx="664210" cy="591185"/>
                  <wp:effectExtent l="0" t="0" r="2540" b="0"/>
                  <wp:wrapThrough wrapText="bothSides">
                    <wp:wrapPolygon edited="0">
                      <wp:start x="8673" y="0"/>
                      <wp:lineTo x="2478" y="11136"/>
                      <wp:lineTo x="0" y="18097"/>
                      <wp:lineTo x="0" y="20881"/>
                      <wp:lineTo x="21063" y="20881"/>
                      <wp:lineTo x="21063" y="17401"/>
                      <wp:lineTo x="12390" y="0"/>
                      <wp:lineTo x="8673"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591185"/>
                          </a:xfrm>
                          <a:prstGeom prst="rect">
                            <a:avLst/>
                          </a:prstGeom>
                          <a:noFill/>
                        </pic:spPr>
                      </pic:pic>
                    </a:graphicData>
                  </a:graphic>
                  <wp14:sizeRelH relativeFrom="page">
                    <wp14:pctWidth>0</wp14:pctWidth>
                  </wp14:sizeRelH>
                  <wp14:sizeRelV relativeFrom="page">
                    <wp14:pctHeight>0</wp14:pctHeight>
                  </wp14:sizeRelV>
                </wp:anchor>
              </w:drawing>
            </w:r>
            <w:r w:rsidRPr="00436657">
              <w:rPr>
                <w:sz w:val="20"/>
              </w:rPr>
              <w:t xml:space="preserve">Bei Nass- oder Feuchtreinigung bzw. bei längerfristigem Umgang mit Reinigungs- und Pflegemitteln können generell Hautprobleme auftreten. </w:t>
            </w:r>
          </w:p>
          <w:p w:rsidR="00D079E7" w:rsidRPr="00D079E7" w:rsidRDefault="00436657" w:rsidP="00436657">
            <w:pPr>
              <w:numPr>
                <w:ilvl w:val="0"/>
                <w:numId w:val="5"/>
              </w:numPr>
              <w:spacing w:after="60"/>
              <w:ind w:left="508" w:hanging="283"/>
              <w:rPr>
                <w:sz w:val="20"/>
              </w:rPr>
            </w:pPr>
            <w:r w:rsidRPr="00436657">
              <w:rPr>
                <w:sz w:val="20"/>
              </w:rPr>
              <w:t>Die Haut wird entfettet und verliert einen Teil ihrer Schutzfunktion. Dadurch können Schadstoffe eher durch die Haut aufgenommen werden, wodurch das Auftreten von Allergien gefördert wird. Darüber hinaus können sich verstärkt Hautekzeme (entzündliche Hautveränderungen) bilden.</w:t>
            </w:r>
          </w:p>
        </w:tc>
        <w:tc>
          <w:tcPr>
            <w:tcW w:w="1440" w:type="dxa"/>
            <w:tcBorders>
              <w:top w:val="nil"/>
              <w:left w:val="nil"/>
              <w:bottom w:val="nil"/>
              <w:right w:val="nil"/>
            </w:tcBorders>
          </w:tcPr>
          <w:p w:rsidR="00D079E7" w:rsidRDefault="00D079E7" w:rsidP="00D079E7"/>
        </w:tc>
      </w:tr>
      <w:tr w:rsidR="00D079E7" w:rsidTr="0070141D">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Erforderliche Schutzmaßnahmen und Verhaltensregeln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blPrEx>
          <w:tblBorders>
            <w:top w:val="single" w:sz="12" w:space="0" w:color="FF0000"/>
            <w:insideH w:val="none" w:sz="0" w:space="0" w:color="auto"/>
            <w:insideV w:val="none" w:sz="0" w:space="0" w:color="auto"/>
          </w:tblBorders>
          <w:tblCellMar>
            <w:left w:w="71" w:type="dxa"/>
            <w:right w:w="71" w:type="dxa"/>
          </w:tblCellMar>
        </w:tblPrEx>
        <w:trPr>
          <w:gridAfter w:val="2"/>
          <w:wAfter w:w="2882" w:type="dxa"/>
        </w:trPr>
        <w:tc>
          <w:tcPr>
            <w:tcW w:w="981" w:type="dxa"/>
            <w:tcBorders>
              <w:top w:val="single" w:sz="12" w:space="0" w:color="0000FF"/>
              <w:left w:val="single" w:sz="48" w:space="0" w:color="0000FF"/>
            </w:tcBorders>
            <w:shd w:val="solid" w:color="FFFFFF" w:fill="FF0000"/>
          </w:tcPr>
          <w:p w:rsidR="007578E8" w:rsidRDefault="007578E8" w:rsidP="007578E8">
            <w:pPr>
              <w:jc w:val="center"/>
              <w:rPr>
                <w:sz w:val="18"/>
                <w:szCs w:val="18"/>
              </w:rPr>
            </w:pPr>
          </w:p>
          <w:p w:rsidR="007578E8" w:rsidRPr="008E0199" w:rsidRDefault="007578E8" w:rsidP="007578E8">
            <w:pPr>
              <w:jc w:val="center"/>
              <w:rPr>
                <w:sz w:val="18"/>
                <w:szCs w:val="18"/>
              </w:rPr>
            </w:pPr>
          </w:p>
          <w:p w:rsidR="00436657" w:rsidRDefault="00436657" w:rsidP="00D079E7">
            <w:pPr>
              <w:jc w:val="center"/>
              <w:rPr>
                <w:b/>
                <w:sz w:val="22"/>
              </w:rPr>
            </w:pPr>
            <w:r>
              <w:rPr>
                <w:b/>
                <w:noProof/>
                <w:sz w:val="22"/>
              </w:rPr>
              <w:drawing>
                <wp:anchor distT="0" distB="0" distL="114300" distR="114300" simplePos="0" relativeHeight="251665408" behindDoc="0" locked="0" layoutInCell="1" allowOverlap="1">
                  <wp:simplePos x="0" y="0"/>
                  <wp:positionH relativeFrom="column">
                    <wp:posOffset>-3810</wp:posOffset>
                  </wp:positionH>
                  <wp:positionV relativeFrom="paragraph">
                    <wp:posOffset>3598</wp:posOffset>
                  </wp:positionV>
                  <wp:extent cx="676910" cy="676910"/>
                  <wp:effectExtent l="0" t="0" r="8890" b="88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page">
                    <wp14:pctWidth>0</wp14:pctWidth>
                  </wp14:sizeRelH>
                  <wp14:sizeRelV relativeFrom="page">
                    <wp14:pctHeight>0</wp14:pctHeight>
                  </wp14:sizeRelV>
                </wp:anchor>
              </w:drawing>
            </w:r>
          </w:p>
          <w:p w:rsidR="00436657" w:rsidRPr="00436657" w:rsidRDefault="00436657" w:rsidP="00436657">
            <w:pPr>
              <w:rPr>
                <w:sz w:val="22"/>
              </w:rPr>
            </w:pPr>
          </w:p>
          <w:p w:rsidR="00436657" w:rsidRPr="00436657" w:rsidRDefault="00436657" w:rsidP="00436657">
            <w:pPr>
              <w:rPr>
                <w:sz w:val="22"/>
              </w:rPr>
            </w:pPr>
          </w:p>
          <w:p w:rsidR="00436657" w:rsidRPr="00436657" w:rsidRDefault="00436657" w:rsidP="00436657">
            <w:pPr>
              <w:rPr>
                <w:sz w:val="22"/>
              </w:rPr>
            </w:pPr>
          </w:p>
          <w:p w:rsidR="00436657" w:rsidRDefault="00436657" w:rsidP="00436657">
            <w:pPr>
              <w:rPr>
                <w:sz w:val="22"/>
              </w:rPr>
            </w:pPr>
            <w:r>
              <w:rPr>
                <w:noProof/>
                <w:sz w:val="22"/>
              </w:rPr>
              <w:drawing>
                <wp:anchor distT="0" distB="0" distL="114300" distR="114300" simplePos="0" relativeHeight="251666432" behindDoc="0" locked="0" layoutInCell="1" allowOverlap="1">
                  <wp:simplePos x="0" y="0"/>
                  <wp:positionH relativeFrom="column">
                    <wp:posOffset>-3810</wp:posOffset>
                  </wp:positionH>
                  <wp:positionV relativeFrom="paragraph">
                    <wp:posOffset>157269</wp:posOffset>
                  </wp:positionV>
                  <wp:extent cx="676910" cy="676910"/>
                  <wp:effectExtent l="0" t="0" r="889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page">
                    <wp14:pctWidth>0</wp14:pctWidth>
                  </wp14:sizeRelH>
                  <wp14:sizeRelV relativeFrom="page">
                    <wp14:pctHeight>0</wp14:pctHeight>
                  </wp14:sizeRelV>
                </wp:anchor>
              </w:drawing>
            </w:r>
          </w:p>
          <w:p w:rsidR="00436657" w:rsidRDefault="00436657" w:rsidP="00436657">
            <w:pPr>
              <w:rPr>
                <w:sz w:val="22"/>
              </w:rPr>
            </w:pPr>
          </w:p>
          <w:p w:rsidR="00436657" w:rsidRDefault="00436657" w:rsidP="00436657">
            <w:pPr>
              <w:rPr>
                <w:sz w:val="22"/>
              </w:rPr>
            </w:pPr>
          </w:p>
          <w:p w:rsidR="00436657" w:rsidRPr="00436657" w:rsidRDefault="00436657" w:rsidP="00436657">
            <w:pPr>
              <w:rPr>
                <w:sz w:val="22"/>
              </w:rPr>
            </w:pPr>
          </w:p>
          <w:p w:rsidR="00436657" w:rsidRPr="00436657" w:rsidRDefault="00436657" w:rsidP="00436657">
            <w:pPr>
              <w:rPr>
                <w:sz w:val="22"/>
              </w:rPr>
            </w:pPr>
          </w:p>
          <w:p w:rsidR="00436657" w:rsidRPr="00436657" w:rsidRDefault="00436657" w:rsidP="00436657">
            <w:pPr>
              <w:rPr>
                <w:sz w:val="22"/>
              </w:rPr>
            </w:pPr>
            <w:r>
              <w:rPr>
                <w:noProof/>
                <w:sz w:val="22"/>
              </w:rPr>
              <w:drawing>
                <wp:anchor distT="0" distB="0" distL="114300" distR="114300" simplePos="0" relativeHeight="251667456" behindDoc="0" locked="0" layoutInCell="1" allowOverlap="1">
                  <wp:simplePos x="0" y="0"/>
                  <wp:positionH relativeFrom="column">
                    <wp:posOffset>-3810</wp:posOffset>
                  </wp:positionH>
                  <wp:positionV relativeFrom="paragraph">
                    <wp:posOffset>89535</wp:posOffset>
                  </wp:positionV>
                  <wp:extent cx="676910" cy="676910"/>
                  <wp:effectExtent l="0" t="0" r="8890" b="88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page">
                    <wp14:pctWidth>0</wp14:pctWidth>
                  </wp14:sizeRelH>
                  <wp14:sizeRelV relativeFrom="page">
                    <wp14:pctHeight>0</wp14:pctHeight>
                  </wp14:sizeRelV>
                </wp:anchor>
              </w:drawing>
            </w:r>
          </w:p>
          <w:p w:rsidR="00436657" w:rsidRPr="00436657" w:rsidRDefault="00436657" w:rsidP="00436657">
            <w:pPr>
              <w:rPr>
                <w:sz w:val="22"/>
              </w:rPr>
            </w:pPr>
          </w:p>
          <w:p w:rsidR="00436657" w:rsidRDefault="00436657" w:rsidP="00436657">
            <w:pPr>
              <w:rPr>
                <w:sz w:val="22"/>
              </w:rPr>
            </w:pPr>
          </w:p>
          <w:p w:rsidR="00436657" w:rsidRDefault="00436657" w:rsidP="00436657">
            <w:pPr>
              <w:rPr>
                <w:sz w:val="22"/>
              </w:rPr>
            </w:pPr>
          </w:p>
          <w:p w:rsidR="00D079E7" w:rsidRPr="00436657" w:rsidRDefault="00436657" w:rsidP="00436657">
            <w:pPr>
              <w:rPr>
                <w:sz w:val="22"/>
              </w:rPr>
            </w:pPr>
            <w:r>
              <w:rPr>
                <w:noProof/>
                <w:sz w:val="22"/>
              </w:rPr>
              <w:drawing>
                <wp:anchor distT="0" distB="0" distL="114300" distR="114300" simplePos="0" relativeHeight="251668480" behindDoc="0" locked="0" layoutInCell="1" allowOverlap="1">
                  <wp:simplePos x="0" y="0"/>
                  <wp:positionH relativeFrom="column">
                    <wp:posOffset>13124</wp:posOffset>
                  </wp:positionH>
                  <wp:positionV relativeFrom="paragraph">
                    <wp:posOffset>243629</wp:posOffset>
                  </wp:positionV>
                  <wp:extent cx="676910" cy="676910"/>
                  <wp:effectExtent l="0" t="0" r="889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page">
                    <wp14:pctWidth>0</wp14:pctWidth>
                  </wp14:sizeRelH>
                  <wp14:sizeRelV relativeFrom="page">
                    <wp14:pctHeight>0</wp14:pctHeight>
                  </wp14:sizeRelV>
                </wp:anchor>
              </w:drawing>
            </w:r>
          </w:p>
        </w:tc>
        <w:tc>
          <w:tcPr>
            <w:tcW w:w="7797" w:type="dxa"/>
            <w:gridSpan w:val="3"/>
            <w:tcBorders>
              <w:top w:val="single" w:sz="12" w:space="0" w:color="0000FF"/>
            </w:tcBorders>
            <w:shd w:val="solid" w:color="FFFFFF" w:fill="FF0000"/>
          </w:tcPr>
          <w:p w:rsidR="00436657" w:rsidRPr="00436657" w:rsidRDefault="00436657" w:rsidP="00436657">
            <w:pPr>
              <w:numPr>
                <w:ilvl w:val="0"/>
                <w:numId w:val="5"/>
              </w:numPr>
              <w:spacing w:after="60"/>
              <w:ind w:left="508" w:hanging="283"/>
              <w:rPr>
                <w:sz w:val="20"/>
              </w:rPr>
            </w:pPr>
            <w:r w:rsidRPr="00436657">
              <w:rPr>
                <w:sz w:val="20"/>
              </w:rPr>
              <w:t>Arbeiten möglichst bei Frischluftzufuhr (Fenster und Türen öffnen).</w:t>
            </w:r>
          </w:p>
          <w:p w:rsidR="00436657" w:rsidRPr="00436657" w:rsidRDefault="00436657" w:rsidP="00436657">
            <w:pPr>
              <w:numPr>
                <w:ilvl w:val="0"/>
                <w:numId w:val="5"/>
              </w:numPr>
              <w:spacing w:after="60"/>
              <w:ind w:left="508" w:hanging="283"/>
              <w:rPr>
                <w:sz w:val="20"/>
              </w:rPr>
            </w:pPr>
            <w:r w:rsidRPr="00436657">
              <w:rPr>
                <w:sz w:val="20"/>
              </w:rPr>
              <w:t xml:space="preserve">Im Arbeitsbereich keine Lebensmittel aufbewahren, nicht essen, trinken, schnupfen, rauchen! </w:t>
            </w:r>
          </w:p>
          <w:p w:rsidR="00436657" w:rsidRPr="00436657" w:rsidRDefault="00436657" w:rsidP="00436657">
            <w:pPr>
              <w:numPr>
                <w:ilvl w:val="0"/>
                <w:numId w:val="5"/>
              </w:numPr>
              <w:spacing w:after="60"/>
              <w:ind w:left="508" w:hanging="283"/>
              <w:rPr>
                <w:sz w:val="20"/>
              </w:rPr>
            </w:pPr>
            <w:r w:rsidRPr="00436657">
              <w:rPr>
                <w:sz w:val="20"/>
              </w:rPr>
              <w:t>Produkte nicht im Pausen- und Aufenthaltsraum lagern!</w:t>
            </w:r>
          </w:p>
          <w:p w:rsidR="00436657" w:rsidRPr="00436657" w:rsidRDefault="00436657" w:rsidP="00436657">
            <w:pPr>
              <w:numPr>
                <w:ilvl w:val="0"/>
                <w:numId w:val="5"/>
              </w:numPr>
              <w:spacing w:after="60"/>
              <w:ind w:left="508" w:hanging="283"/>
              <w:rPr>
                <w:sz w:val="20"/>
              </w:rPr>
            </w:pPr>
            <w:r w:rsidRPr="00436657">
              <w:rPr>
                <w:sz w:val="20"/>
              </w:rPr>
              <w:t xml:space="preserve">Nicht mit anderen Produkten oder Chemikalien mischen! </w:t>
            </w:r>
          </w:p>
          <w:p w:rsidR="00436657" w:rsidRPr="00436657" w:rsidRDefault="00436657" w:rsidP="00436657">
            <w:pPr>
              <w:numPr>
                <w:ilvl w:val="0"/>
                <w:numId w:val="5"/>
              </w:numPr>
              <w:spacing w:after="60"/>
              <w:ind w:left="508" w:hanging="283"/>
              <w:rPr>
                <w:sz w:val="20"/>
              </w:rPr>
            </w:pPr>
            <w:r w:rsidRPr="00436657">
              <w:rPr>
                <w:sz w:val="20"/>
              </w:rPr>
              <w:t>Verschlüsse vorsichtig öffnen!</w:t>
            </w:r>
          </w:p>
          <w:p w:rsidR="00436657" w:rsidRPr="00436657" w:rsidRDefault="00436657" w:rsidP="00436657">
            <w:pPr>
              <w:numPr>
                <w:ilvl w:val="0"/>
                <w:numId w:val="5"/>
              </w:numPr>
              <w:spacing w:after="60"/>
              <w:ind w:left="508" w:hanging="283"/>
              <w:rPr>
                <w:sz w:val="20"/>
              </w:rPr>
            </w:pPr>
            <w:r w:rsidRPr="00436657">
              <w:rPr>
                <w:sz w:val="20"/>
              </w:rPr>
              <w:t xml:space="preserve">Beim Ab- und Umfüllen Verspritzen vermeiden! </w:t>
            </w:r>
          </w:p>
          <w:p w:rsidR="00436657" w:rsidRPr="00436657" w:rsidRDefault="00436657" w:rsidP="00436657">
            <w:pPr>
              <w:numPr>
                <w:ilvl w:val="0"/>
                <w:numId w:val="5"/>
              </w:numPr>
              <w:spacing w:after="60"/>
              <w:ind w:left="508" w:hanging="283"/>
              <w:rPr>
                <w:sz w:val="20"/>
              </w:rPr>
            </w:pPr>
            <w:r w:rsidRPr="00436657">
              <w:rPr>
                <w:sz w:val="20"/>
              </w:rPr>
              <w:t xml:space="preserve">Augen- und Hautkontakt mit Konzentrat vermeiden! Nicht mit heißem Wasser anwenden! </w:t>
            </w:r>
          </w:p>
          <w:p w:rsidR="00436657" w:rsidRPr="00436657" w:rsidRDefault="00436657" w:rsidP="00436657">
            <w:pPr>
              <w:numPr>
                <w:ilvl w:val="0"/>
                <w:numId w:val="5"/>
              </w:numPr>
              <w:spacing w:after="60"/>
              <w:ind w:left="508" w:hanging="283"/>
              <w:rPr>
                <w:sz w:val="20"/>
              </w:rPr>
            </w:pPr>
            <w:r w:rsidRPr="00436657">
              <w:rPr>
                <w:sz w:val="20"/>
              </w:rPr>
              <w:t>Anwendungshinweise des Herstellers beachten!</w:t>
            </w:r>
          </w:p>
          <w:p w:rsidR="00436657" w:rsidRPr="00436657" w:rsidRDefault="00436657" w:rsidP="00436657">
            <w:pPr>
              <w:numPr>
                <w:ilvl w:val="0"/>
                <w:numId w:val="5"/>
              </w:numPr>
              <w:spacing w:after="60"/>
              <w:ind w:left="508" w:hanging="283"/>
              <w:rPr>
                <w:sz w:val="20"/>
              </w:rPr>
            </w:pPr>
            <w:r w:rsidRPr="00436657">
              <w:rPr>
                <w:sz w:val="20"/>
              </w:rPr>
              <w:t xml:space="preserve">Stark verunreinigte Kleidung wechseln! </w:t>
            </w:r>
          </w:p>
          <w:p w:rsidR="00436657" w:rsidRPr="00436657" w:rsidRDefault="00436657" w:rsidP="00436657">
            <w:pPr>
              <w:numPr>
                <w:ilvl w:val="0"/>
                <w:numId w:val="5"/>
              </w:numPr>
              <w:spacing w:after="60"/>
              <w:ind w:left="508" w:hanging="283"/>
              <w:rPr>
                <w:sz w:val="20"/>
              </w:rPr>
            </w:pPr>
            <w:r w:rsidRPr="00436657">
              <w:rPr>
                <w:sz w:val="20"/>
              </w:rPr>
              <w:t xml:space="preserve">Bei ersten Anzeichen von Hautschädigungen (Rötung, Schuppung, Juckreiz, Einrisse) ist der Betriebsarzt oder ein Hautarzt aufzusuchen! </w:t>
            </w:r>
          </w:p>
          <w:p w:rsidR="00436657" w:rsidRPr="00436657" w:rsidRDefault="00436657" w:rsidP="00436657">
            <w:pPr>
              <w:spacing w:after="60"/>
              <w:ind w:left="225"/>
              <w:rPr>
                <w:b/>
                <w:sz w:val="20"/>
              </w:rPr>
            </w:pPr>
            <w:r w:rsidRPr="00436657">
              <w:rPr>
                <w:b/>
                <w:sz w:val="20"/>
              </w:rPr>
              <w:t>Augenschutz:</w:t>
            </w:r>
          </w:p>
          <w:p w:rsidR="00436657" w:rsidRPr="00436657" w:rsidRDefault="00436657" w:rsidP="00436657">
            <w:pPr>
              <w:numPr>
                <w:ilvl w:val="0"/>
                <w:numId w:val="5"/>
              </w:numPr>
              <w:spacing w:after="60"/>
              <w:ind w:left="508" w:hanging="283"/>
              <w:rPr>
                <w:sz w:val="20"/>
              </w:rPr>
            </w:pPr>
            <w:r w:rsidRPr="00436657">
              <w:rPr>
                <w:sz w:val="20"/>
              </w:rPr>
              <w:t xml:space="preserve">Beim Verdünnen von Konzentraten ist eine Schutzbrille zu tragen. </w:t>
            </w:r>
          </w:p>
          <w:p w:rsidR="00436657" w:rsidRPr="00436657" w:rsidRDefault="00436657" w:rsidP="00436657">
            <w:pPr>
              <w:spacing w:after="60"/>
              <w:ind w:left="225"/>
              <w:rPr>
                <w:b/>
                <w:sz w:val="20"/>
              </w:rPr>
            </w:pPr>
            <w:r w:rsidRPr="00436657">
              <w:rPr>
                <w:b/>
                <w:sz w:val="20"/>
              </w:rPr>
              <w:t>Handschutz:</w:t>
            </w:r>
          </w:p>
          <w:p w:rsidR="00436657" w:rsidRPr="00436657" w:rsidRDefault="00436657" w:rsidP="00436657">
            <w:pPr>
              <w:numPr>
                <w:ilvl w:val="0"/>
                <w:numId w:val="5"/>
              </w:numPr>
              <w:spacing w:after="60"/>
              <w:ind w:left="508" w:hanging="283"/>
              <w:rPr>
                <w:sz w:val="20"/>
              </w:rPr>
            </w:pPr>
            <w:r w:rsidRPr="00436657">
              <w:rPr>
                <w:sz w:val="20"/>
              </w:rPr>
              <w:t xml:space="preserve">Bei andauerndem Hautkontakt Handschuhe tragen. Die Stulpen sind umzuschlagen. </w:t>
            </w:r>
          </w:p>
          <w:p w:rsidR="00436657" w:rsidRPr="00436657" w:rsidRDefault="00436657" w:rsidP="00436657">
            <w:pPr>
              <w:spacing w:after="60"/>
              <w:ind w:left="225"/>
              <w:rPr>
                <w:b/>
                <w:sz w:val="20"/>
              </w:rPr>
            </w:pPr>
            <w:r w:rsidRPr="00436657">
              <w:rPr>
                <w:b/>
                <w:sz w:val="20"/>
              </w:rPr>
              <w:t>Hautschutz:</w:t>
            </w:r>
          </w:p>
          <w:p w:rsidR="00436657" w:rsidRPr="00436657" w:rsidRDefault="00436657" w:rsidP="00436657">
            <w:pPr>
              <w:numPr>
                <w:ilvl w:val="0"/>
                <w:numId w:val="5"/>
              </w:numPr>
              <w:spacing w:after="60"/>
              <w:ind w:left="508" w:hanging="283"/>
              <w:rPr>
                <w:sz w:val="20"/>
              </w:rPr>
            </w:pPr>
            <w:r w:rsidRPr="00436657">
              <w:rPr>
                <w:sz w:val="20"/>
              </w:rPr>
              <w:t xml:space="preserve">Vor der Arbeit Hautschutzsalbe verwenden. </w:t>
            </w:r>
          </w:p>
          <w:p w:rsidR="00436657" w:rsidRPr="00436657" w:rsidRDefault="00436657" w:rsidP="00436657">
            <w:pPr>
              <w:numPr>
                <w:ilvl w:val="0"/>
                <w:numId w:val="5"/>
              </w:numPr>
              <w:spacing w:after="60"/>
              <w:ind w:left="508" w:hanging="283"/>
              <w:rPr>
                <w:sz w:val="20"/>
              </w:rPr>
            </w:pPr>
            <w:r w:rsidRPr="00436657">
              <w:rPr>
                <w:sz w:val="20"/>
              </w:rPr>
              <w:t xml:space="preserve">Vor Pausen und nach der Arbeit Hände und Unterarme reinigen. </w:t>
            </w:r>
          </w:p>
          <w:p w:rsidR="00D079E7" w:rsidRDefault="00436657" w:rsidP="00436657">
            <w:pPr>
              <w:numPr>
                <w:ilvl w:val="0"/>
                <w:numId w:val="5"/>
              </w:numPr>
              <w:spacing w:after="60"/>
              <w:ind w:left="508" w:hanging="283"/>
              <w:rPr>
                <w:sz w:val="20"/>
              </w:rPr>
            </w:pPr>
            <w:r w:rsidRPr="00436657">
              <w:rPr>
                <w:sz w:val="20"/>
              </w:rPr>
              <w:t>Nach der Arbeit Hautpflegemittel verwenden.</w:t>
            </w:r>
          </w:p>
        </w:tc>
        <w:tc>
          <w:tcPr>
            <w:tcW w:w="1134" w:type="dxa"/>
            <w:tcBorders>
              <w:top w:val="single" w:sz="12" w:space="0" w:color="0000FF"/>
              <w:right w:val="single" w:sz="48" w:space="0" w:color="0000FF"/>
            </w:tcBorders>
            <w:shd w:val="solid" w:color="FFFFFF" w:fill="FF0000"/>
          </w:tcPr>
          <w:p w:rsidR="00D079E7" w:rsidRDefault="00D079E7" w:rsidP="007578E8">
            <w:pPr>
              <w:jc w:val="center"/>
              <w:rPr>
                <w:sz w:val="22"/>
              </w:rPr>
            </w:pPr>
          </w:p>
        </w:tc>
      </w:tr>
      <w:tr w:rsidR="00D079E7" w:rsidTr="0070141D">
        <w:tc>
          <w:tcPr>
            <w:tcW w:w="9912" w:type="dxa"/>
            <w:gridSpan w:val="5"/>
            <w:tcBorders>
              <w:top w:val="single" w:sz="48" w:space="0" w:color="0000FF"/>
              <w:left w:val="single" w:sz="48" w:space="0" w:color="0000FF"/>
              <w:bottom w:val="single" w:sz="12" w:space="0" w:color="0000FF"/>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Maßnahmen bei Betriebsstörungen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nil"/>
              <w:left w:val="single" w:sz="48" w:space="0" w:color="0000FF"/>
              <w:bottom w:val="nil"/>
              <w:right w:val="nil"/>
            </w:tcBorders>
            <w:shd w:val="solid" w:color="FFFFFF" w:fill="FF0000"/>
          </w:tcPr>
          <w:p w:rsidR="00D079E7" w:rsidRDefault="00436657" w:rsidP="00D079E7">
            <w:pPr>
              <w:jc w:val="center"/>
              <w:rPr>
                <w:b/>
                <w:sz w:val="22"/>
              </w:rPr>
            </w:pPr>
            <w:r>
              <w:rPr>
                <w:b/>
                <w:noProof/>
                <w:sz w:val="22"/>
              </w:rPr>
              <w:drawing>
                <wp:anchor distT="0" distB="0" distL="114300" distR="114300" simplePos="0" relativeHeight="251669504" behindDoc="0" locked="0" layoutInCell="1" allowOverlap="1">
                  <wp:simplePos x="0" y="0"/>
                  <wp:positionH relativeFrom="column">
                    <wp:posOffset>64558</wp:posOffset>
                  </wp:positionH>
                  <wp:positionV relativeFrom="paragraph">
                    <wp:posOffset>-55457</wp:posOffset>
                  </wp:positionV>
                  <wp:extent cx="440267" cy="440267"/>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267" cy="440267"/>
                          </a:xfrm>
                          <a:prstGeom prst="rect">
                            <a:avLst/>
                          </a:prstGeom>
                          <a:noFill/>
                        </pic:spPr>
                      </pic:pic>
                    </a:graphicData>
                  </a:graphic>
                  <wp14:sizeRelH relativeFrom="page">
                    <wp14:pctWidth>0</wp14:pctWidth>
                  </wp14:sizeRelH>
                  <wp14:sizeRelV relativeFrom="page">
                    <wp14:pctHeight>0</wp14:pctHeight>
                  </wp14:sizeRelV>
                </wp:anchor>
              </w:drawing>
            </w:r>
          </w:p>
        </w:tc>
        <w:tc>
          <w:tcPr>
            <w:tcW w:w="8931" w:type="dxa"/>
            <w:gridSpan w:val="4"/>
            <w:tcBorders>
              <w:top w:val="nil"/>
              <w:left w:val="nil"/>
              <w:bottom w:val="nil"/>
              <w:right w:val="single" w:sz="48" w:space="0" w:color="0000FF"/>
            </w:tcBorders>
            <w:shd w:val="solid" w:color="FFFFFF" w:fill="FF0000"/>
          </w:tcPr>
          <w:p w:rsidR="00436657" w:rsidRPr="00436657" w:rsidRDefault="00436657" w:rsidP="00436657">
            <w:pPr>
              <w:numPr>
                <w:ilvl w:val="0"/>
                <w:numId w:val="5"/>
              </w:numPr>
              <w:spacing w:after="60"/>
              <w:ind w:left="508" w:hanging="283"/>
              <w:rPr>
                <w:sz w:val="20"/>
              </w:rPr>
            </w:pPr>
            <w:r w:rsidRPr="00436657">
              <w:rPr>
                <w:sz w:val="20"/>
              </w:rPr>
              <w:t>Bei Gefahr Arbeiten sofort einstellen.</w:t>
            </w:r>
          </w:p>
          <w:p w:rsidR="00D079E7" w:rsidRPr="00D079E7" w:rsidRDefault="00436657" w:rsidP="00436657">
            <w:pPr>
              <w:numPr>
                <w:ilvl w:val="0"/>
                <w:numId w:val="5"/>
              </w:numPr>
              <w:spacing w:after="60"/>
              <w:ind w:left="508" w:hanging="283"/>
              <w:rPr>
                <w:sz w:val="20"/>
              </w:rPr>
            </w:pPr>
            <w:r w:rsidRPr="00436657">
              <w:rPr>
                <w:sz w:val="20"/>
              </w:rPr>
              <w:t>Störungen an Vorgesetzten melden.</w:t>
            </w:r>
          </w:p>
        </w:tc>
        <w:tc>
          <w:tcPr>
            <w:tcW w:w="1440" w:type="dxa"/>
            <w:tcBorders>
              <w:top w:val="nil"/>
              <w:left w:val="nil"/>
              <w:bottom w:val="nil"/>
              <w:right w:val="nil"/>
            </w:tcBorders>
          </w:tcPr>
          <w:p w:rsidR="00D079E7" w:rsidRDefault="00D079E7" w:rsidP="00D079E7"/>
        </w:tc>
      </w:tr>
      <w:tr w:rsidR="00D079E7" w:rsidTr="0070141D">
        <w:trPr>
          <w:trHeight w:val="405"/>
        </w:trPr>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Maßnahmen bei Unfällen/Notfällen und zur Ersten Hilfe</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nil"/>
              <w:right w:val="nil"/>
            </w:tcBorders>
            <w:shd w:val="solid" w:color="FFFFFF" w:fill="FF0000"/>
          </w:tcPr>
          <w:p w:rsidR="00D079E7" w:rsidRDefault="00D079E7" w:rsidP="00D079E7">
            <w:pPr>
              <w:rPr>
                <w:b/>
                <w:color w:val="FFFFFF"/>
                <w:sz w:val="22"/>
              </w:rPr>
            </w:pPr>
            <w:r>
              <w:rPr>
                <w:b/>
                <w:noProof/>
                <w:color w:val="FFFFFF"/>
                <w:sz w:val="20"/>
              </w:rPr>
              <w:drawing>
                <wp:inline distT="0" distB="0" distL="0" distR="0" wp14:anchorId="17BA79D1" wp14:editId="67E00783">
                  <wp:extent cx="609600" cy="6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931" w:type="dxa"/>
            <w:gridSpan w:val="4"/>
            <w:tcBorders>
              <w:top w:val="single" w:sz="12" w:space="0" w:color="0000FF"/>
              <w:left w:val="nil"/>
              <w:bottom w:val="nil"/>
              <w:right w:val="single" w:sz="48" w:space="0" w:color="0000FF"/>
            </w:tcBorders>
            <w:shd w:val="solid" w:color="FFFFFF" w:fill="FF0000"/>
          </w:tcPr>
          <w:p w:rsidR="00436657" w:rsidRPr="00436657" w:rsidRDefault="00436657" w:rsidP="00436657">
            <w:pPr>
              <w:numPr>
                <w:ilvl w:val="0"/>
                <w:numId w:val="5"/>
              </w:numPr>
              <w:spacing w:after="60"/>
              <w:ind w:left="508" w:hanging="283"/>
              <w:rPr>
                <w:sz w:val="20"/>
              </w:rPr>
            </w:pPr>
            <w:r w:rsidRPr="00436657">
              <w:rPr>
                <w:b/>
                <w:sz w:val="20"/>
              </w:rPr>
              <w:t>Erste-Hilfe-Maßnahmen:</w:t>
            </w:r>
            <w:r w:rsidRPr="00436657">
              <w:rPr>
                <w:sz w:val="20"/>
              </w:rPr>
              <w:t xml:space="preserve"> Blutungen stillen, verletzte Gliedmaßen ruhigstellen, Schockbekämpfung; bei Herz- und Atemstillstand, Wiederbelebung mit Defibrillator</w:t>
            </w:r>
          </w:p>
          <w:p w:rsidR="00436657" w:rsidRPr="00436657" w:rsidRDefault="00436657" w:rsidP="00436657">
            <w:pPr>
              <w:numPr>
                <w:ilvl w:val="0"/>
                <w:numId w:val="5"/>
              </w:numPr>
              <w:spacing w:after="60"/>
              <w:ind w:left="508" w:hanging="283"/>
              <w:rPr>
                <w:sz w:val="20"/>
              </w:rPr>
            </w:pPr>
            <w:r w:rsidRPr="00436657">
              <w:rPr>
                <w:b/>
                <w:sz w:val="20"/>
              </w:rPr>
              <w:t>Nach Augenkontakt:</w:t>
            </w:r>
            <w:r w:rsidRPr="00436657">
              <w:rPr>
                <w:sz w:val="20"/>
              </w:rPr>
              <w:t xml:space="preserve"> 10 Minuten mit Wasser oder Augenspüllösung spülen!</w:t>
            </w:r>
          </w:p>
          <w:p w:rsidR="00436657" w:rsidRPr="00436657" w:rsidRDefault="00436657" w:rsidP="00436657">
            <w:pPr>
              <w:numPr>
                <w:ilvl w:val="0"/>
                <w:numId w:val="5"/>
              </w:numPr>
              <w:spacing w:after="60"/>
              <w:ind w:left="508" w:hanging="283"/>
              <w:rPr>
                <w:sz w:val="20"/>
              </w:rPr>
            </w:pPr>
            <w:r w:rsidRPr="00436657">
              <w:rPr>
                <w:b/>
                <w:sz w:val="20"/>
              </w:rPr>
              <w:t>Nach Hautkontakt:</w:t>
            </w:r>
            <w:r w:rsidRPr="00436657">
              <w:rPr>
                <w:sz w:val="20"/>
              </w:rPr>
              <w:t xml:space="preserve"> Mit viel Wasser und Seife reinigen. Stark verunreinigte Kleidung ausziehen!</w:t>
            </w:r>
          </w:p>
          <w:p w:rsidR="00436657" w:rsidRPr="00436657" w:rsidRDefault="00436657" w:rsidP="00436657">
            <w:pPr>
              <w:numPr>
                <w:ilvl w:val="0"/>
                <w:numId w:val="5"/>
              </w:numPr>
              <w:spacing w:after="60"/>
              <w:ind w:left="508" w:hanging="283"/>
              <w:rPr>
                <w:sz w:val="20"/>
              </w:rPr>
            </w:pPr>
            <w:r w:rsidRPr="00436657">
              <w:rPr>
                <w:b/>
                <w:sz w:val="20"/>
              </w:rPr>
              <w:t>Nach Verschlucken:</w:t>
            </w:r>
            <w:r w:rsidRPr="00436657">
              <w:rPr>
                <w:sz w:val="20"/>
              </w:rPr>
              <w:t xml:space="preserve"> Kein Erbrechen herbeiführen! In kleinen Schlucken viel Wasser trinken! Keine Hausmittel.</w:t>
            </w:r>
          </w:p>
          <w:p w:rsidR="00D079E7" w:rsidRDefault="00436657" w:rsidP="00436657">
            <w:pPr>
              <w:numPr>
                <w:ilvl w:val="0"/>
                <w:numId w:val="5"/>
              </w:numPr>
              <w:spacing w:after="60"/>
              <w:ind w:left="508" w:hanging="283"/>
              <w:rPr>
                <w:sz w:val="20"/>
              </w:rPr>
            </w:pPr>
            <w:r w:rsidRPr="00436657">
              <w:rPr>
                <w:sz w:val="20"/>
              </w:rPr>
              <w:t>Aufsichtführenden informieren</w:t>
            </w:r>
          </w:p>
          <w:p w:rsidR="00D079E7" w:rsidRDefault="00D079E7" w:rsidP="00D079E7">
            <w:pPr>
              <w:tabs>
                <w:tab w:val="left" w:pos="3060"/>
              </w:tabs>
              <w:spacing w:after="60"/>
              <w:ind w:left="366"/>
              <w:rPr>
                <w:sz w:val="22"/>
              </w:rPr>
            </w:pPr>
            <w:r w:rsidRPr="0070141D">
              <w:rPr>
                <w:b/>
                <w:color w:val="FF0000"/>
                <w:sz w:val="32"/>
                <w:szCs w:val="32"/>
              </w:rPr>
              <w:lastRenderedPageBreak/>
              <w:t>Notr</w:t>
            </w:r>
            <w:r w:rsidRPr="00E142C8">
              <w:rPr>
                <w:b/>
                <w:color w:val="FF0000"/>
                <w:sz w:val="32"/>
              </w:rPr>
              <w:t>uf:</w:t>
            </w:r>
            <w:r>
              <w:rPr>
                <w:b/>
                <w:sz w:val="22"/>
              </w:rPr>
              <w:tab/>
            </w:r>
            <w:r w:rsidRPr="00E142C8">
              <w:rPr>
                <w:b/>
                <w:color w:val="00B050"/>
                <w:sz w:val="32"/>
              </w:rPr>
              <w:t>Ersthelfer</w:t>
            </w:r>
            <w:r>
              <w:rPr>
                <w:b/>
                <w:color w:val="00B050"/>
                <w:sz w:val="32"/>
              </w:rPr>
              <w:t>/in</w:t>
            </w:r>
            <w:r w:rsidRPr="00E142C8">
              <w:rPr>
                <w:b/>
                <w:color w:val="00B050"/>
                <w:sz w:val="32"/>
              </w:rPr>
              <w:t>:</w:t>
            </w:r>
          </w:p>
        </w:tc>
        <w:tc>
          <w:tcPr>
            <w:tcW w:w="1440" w:type="dxa"/>
            <w:tcBorders>
              <w:top w:val="nil"/>
              <w:left w:val="nil"/>
              <w:bottom w:val="nil"/>
              <w:right w:val="nil"/>
            </w:tcBorders>
          </w:tcPr>
          <w:p w:rsidR="00D079E7" w:rsidRDefault="00D079E7" w:rsidP="00D079E7"/>
        </w:tc>
      </w:tr>
      <w:tr w:rsidR="00D079E7" w:rsidTr="0070141D">
        <w:trPr>
          <w:trHeight w:val="413"/>
        </w:trPr>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Zusätzliche notwendige Maßnahmen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single" w:sz="48" w:space="0" w:color="0000FF"/>
              <w:right w:val="nil"/>
            </w:tcBorders>
            <w:shd w:val="solid" w:color="FFFFFF" w:fill="FF0000"/>
          </w:tcPr>
          <w:p w:rsidR="00D079E7" w:rsidRDefault="00D079E7" w:rsidP="00D079E7">
            <w:pPr>
              <w:rPr>
                <w:b/>
                <w:color w:val="FFFFFF"/>
                <w:sz w:val="32"/>
              </w:rPr>
            </w:pPr>
          </w:p>
        </w:tc>
        <w:tc>
          <w:tcPr>
            <w:tcW w:w="8931" w:type="dxa"/>
            <w:gridSpan w:val="4"/>
            <w:tcBorders>
              <w:top w:val="single" w:sz="12" w:space="0" w:color="0000FF"/>
              <w:left w:val="nil"/>
              <w:bottom w:val="single" w:sz="48" w:space="0" w:color="0000FF"/>
              <w:right w:val="single" w:sz="48" w:space="0" w:color="0000FF"/>
            </w:tcBorders>
            <w:shd w:val="solid" w:color="FFFFFF" w:fill="FF0000"/>
          </w:tcPr>
          <w:p w:rsidR="00436657" w:rsidRPr="00436657" w:rsidRDefault="00436657" w:rsidP="00436657">
            <w:pPr>
              <w:numPr>
                <w:ilvl w:val="0"/>
                <w:numId w:val="5"/>
              </w:numPr>
              <w:spacing w:after="60"/>
              <w:ind w:left="508" w:hanging="283"/>
              <w:rPr>
                <w:sz w:val="20"/>
              </w:rPr>
            </w:pPr>
            <w:r w:rsidRPr="00436657">
              <w:rPr>
                <w:sz w:val="20"/>
              </w:rPr>
              <w:t>Produktreste verschiedener Reinigungsmittel nicht vermischen</w:t>
            </w:r>
          </w:p>
          <w:p w:rsidR="00D079E7" w:rsidRDefault="00436657" w:rsidP="00436657">
            <w:pPr>
              <w:numPr>
                <w:ilvl w:val="0"/>
                <w:numId w:val="5"/>
              </w:numPr>
              <w:spacing w:after="60"/>
              <w:ind w:left="508" w:hanging="283"/>
              <w:rPr>
                <w:sz w:val="20"/>
              </w:rPr>
            </w:pPr>
            <w:r w:rsidRPr="00436657">
              <w:rPr>
                <w:sz w:val="20"/>
              </w:rPr>
              <w:t>Entsorgungshinweise der Hersteller beachten</w:t>
            </w:r>
          </w:p>
        </w:tc>
        <w:tc>
          <w:tcPr>
            <w:tcW w:w="1440" w:type="dxa"/>
            <w:tcBorders>
              <w:top w:val="nil"/>
              <w:left w:val="nil"/>
              <w:bottom w:val="nil"/>
              <w:right w:val="nil"/>
            </w:tcBorders>
          </w:tcPr>
          <w:p w:rsidR="00D079E7" w:rsidRDefault="00D079E7" w:rsidP="00D079E7"/>
        </w:tc>
      </w:tr>
    </w:tbl>
    <w:p w:rsidR="0094747C" w:rsidRDefault="0094747C" w:rsidP="00E17AC6">
      <w:bookmarkStart w:id="0" w:name="_GoBack"/>
      <w:bookmarkEnd w:id="0"/>
    </w:p>
    <w:sectPr w:rsidR="0094747C" w:rsidSect="000C2D00">
      <w:footerReference w:type="default" r:id="rId16"/>
      <w:pgSz w:w="11907" w:h="16840"/>
      <w:pgMar w:top="567" w:right="567"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A8" w:rsidRDefault="00B97AA8" w:rsidP="002D0A74">
      <w:r>
        <w:separator/>
      </w:r>
    </w:p>
  </w:endnote>
  <w:endnote w:type="continuationSeparator" w:id="0">
    <w:p w:rsidR="00B97AA8" w:rsidRDefault="00B97AA8" w:rsidP="002D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3A" w:rsidRDefault="003B4B3A" w:rsidP="003B4B3A">
    <w:pPr>
      <w:pStyle w:val="Fuzeile"/>
      <w:rPr>
        <w:sz w:val="18"/>
      </w:rPr>
    </w:pPr>
    <w:r>
      <w:rPr>
        <w:sz w:val="18"/>
      </w:rPr>
      <w:fldChar w:fldCharType="begin"/>
    </w:r>
    <w:r>
      <w:rPr>
        <w:sz w:val="18"/>
      </w:rPr>
      <w:instrText xml:space="preserve"> FILENAME \* MERGEFORMAT </w:instrText>
    </w:r>
    <w:r>
      <w:rPr>
        <w:sz w:val="18"/>
      </w:rPr>
      <w:fldChar w:fldCharType="separate"/>
    </w:r>
    <w:r w:rsidR="00436657">
      <w:rPr>
        <w:noProof/>
        <w:sz w:val="18"/>
      </w:rPr>
      <w:t>5419-FB_BA_Reinigungs- und Pflegemittel_Version_1.</w:t>
    </w:r>
    <w:r>
      <w:rPr>
        <w:noProof/>
        <w:sz w:val="18"/>
      </w:rPr>
      <w:t>0_</w:t>
    </w:r>
    <w:r w:rsidR="00436657">
      <w:rPr>
        <w:noProof/>
        <w:sz w:val="18"/>
      </w:rPr>
      <w:t>2020-11-23</w:t>
    </w:r>
    <w:r>
      <w:rPr>
        <w:noProof/>
        <w:sz w:val="18"/>
      </w:rPr>
      <w:t>.docx</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A8" w:rsidRDefault="00B97AA8" w:rsidP="002D0A74">
      <w:r>
        <w:separator/>
      </w:r>
    </w:p>
  </w:footnote>
  <w:footnote w:type="continuationSeparator" w:id="0">
    <w:p w:rsidR="00B97AA8" w:rsidRDefault="00B97AA8" w:rsidP="002D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F9"/>
    <w:multiLevelType w:val="hybridMultilevel"/>
    <w:tmpl w:val="4ECEB280"/>
    <w:lvl w:ilvl="0" w:tplc="2F729D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F2603"/>
    <w:multiLevelType w:val="singleLevel"/>
    <w:tmpl w:val="C082BE52"/>
    <w:lvl w:ilvl="0">
      <w:numFmt w:val="bullet"/>
      <w:lvlText w:val="-"/>
      <w:lvlJc w:val="left"/>
      <w:pPr>
        <w:tabs>
          <w:tab w:val="num" w:pos="360"/>
        </w:tabs>
        <w:ind w:left="360" w:hanging="360"/>
      </w:pPr>
      <w:rPr>
        <w:rFonts w:hint="default"/>
      </w:rPr>
    </w:lvl>
  </w:abstractNum>
  <w:abstractNum w:abstractNumId="2" w15:restartNumberingAfterBreak="0">
    <w:nsid w:val="170C6120"/>
    <w:multiLevelType w:val="singleLevel"/>
    <w:tmpl w:val="F5F43FDA"/>
    <w:lvl w:ilvl="0">
      <w:start w:val="1"/>
      <w:numFmt w:val="bullet"/>
      <w:pStyle w:val="FormatvorlageRegeln"/>
      <w:lvlText w:val=""/>
      <w:lvlJc w:val="left"/>
      <w:pPr>
        <w:tabs>
          <w:tab w:val="num" w:pos="360"/>
        </w:tabs>
        <w:ind w:left="227" w:hanging="227"/>
      </w:pPr>
      <w:rPr>
        <w:rFonts w:ascii="Symbol" w:hAnsi="Symbol" w:hint="default"/>
        <w:sz w:val="16"/>
      </w:rPr>
    </w:lvl>
  </w:abstractNum>
  <w:abstractNum w:abstractNumId="3" w15:restartNumberingAfterBreak="0">
    <w:nsid w:val="1CF927AC"/>
    <w:multiLevelType w:val="hybridMultilevel"/>
    <w:tmpl w:val="3B2447C4"/>
    <w:lvl w:ilvl="0" w:tplc="FBF0EDA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C4673B"/>
    <w:multiLevelType w:val="singleLevel"/>
    <w:tmpl w:val="C082BE52"/>
    <w:lvl w:ilvl="0">
      <w:numFmt w:val="bullet"/>
      <w:lvlText w:val="-"/>
      <w:lvlJc w:val="left"/>
      <w:pPr>
        <w:tabs>
          <w:tab w:val="num" w:pos="360"/>
        </w:tabs>
        <w:ind w:left="360" w:hanging="360"/>
      </w:pPr>
      <w:rPr>
        <w:rFonts w:hint="default"/>
      </w:rPr>
    </w:lvl>
  </w:abstractNum>
  <w:abstractNum w:abstractNumId="5" w15:restartNumberingAfterBreak="0">
    <w:nsid w:val="3FF30554"/>
    <w:multiLevelType w:val="hybridMultilevel"/>
    <w:tmpl w:val="22849478"/>
    <w:lvl w:ilvl="0" w:tplc="FBF0EDAA">
      <w:start w:val="1"/>
      <w:numFmt w:val="bullet"/>
      <w:lvlText w:val=""/>
      <w:lvlJc w:val="left"/>
      <w:pPr>
        <w:ind w:left="15385" w:hanging="360"/>
      </w:pPr>
      <w:rPr>
        <w:rFonts w:ascii="Wingdings" w:hAnsi="Wingdings" w:hint="default"/>
      </w:rPr>
    </w:lvl>
    <w:lvl w:ilvl="1" w:tplc="04070003" w:tentative="1">
      <w:start w:val="1"/>
      <w:numFmt w:val="bullet"/>
      <w:lvlText w:val="o"/>
      <w:lvlJc w:val="left"/>
      <w:pPr>
        <w:ind w:left="16105" w:hanging="360"/>
      </w:pPr>
      <w:rPr>
        <w:rFonts w:ascii="Courier New" w:hAnsi="Courier New" w:cs="Courier New" w:hint="default"/>
      </w:rPr>
    </w:lvl>
    <w:lvl w:ilvl="2" w:tplc="04070005" w:tentative="1">
      <w:start w:val="1"/>
      <w:numFmt w:val="bullet"/>
      <w:lvlText w:val=""/>
      <w:lvlJc w:val="left"/>
      <w:pPr>
        <w:ind w:left="16825" w:hanging="360"/>
      </w:pPr>
      <w:rPr>
        <w:rFonts w:ascii="Wingdings" w:hAnsi="Wingdings" w:hint="default"/>
      </w:rPr>
    </w:lvl>
    <w:lvl w:ilvl="3" w:tplc="04070001" w:tentative="1">
      <w:start w:val="1"/>
      <w:numFmt w:val="bullet"/>
      <w:lvlText w:val=""/>
      <w:lvlJc w:val="left"/>
      <w:pPr>
        <w:ind w:left="17545" w:hanging="360"/>
      </w:pPr>
      <w:rPr>
        <w:rFonts w:ascii="Symbol" w:hAnsi="Symbol" w:hint="default"/>
      </w:rPr>
    </w:lvl>
    <w:lvl w:ilvl="4" w:tplc="04070003" w:tentative="1">
      <w:start w:val="1"/>
      <w:numFmt w:val="bullet"/>
      <w:lvlText w:val="o"/>
      <w:lvlJc w:val="left"/>
      <w:pPr>
        <w:ind w:left="18265" w:hanging="360"/>
      </w:pPr>
      <w:rPr>
        <w:rFonts w:ascii="Courier New" w:hAnsi="Courier New" w:cs="Courier New" w:hint="default"/>
      </w:rPr>
    </w:lvl>
    <w:lvl w:ilvl="5" w:tplc="04070005" w:tentative="1">
      <w:start w:val="1"/>
      <w:numFmt w:val="bullet"/>
      <w:lvlText w:val=""/>
      <w:lvlJc w:val="left"/>
      <w:pPr>
        <w:ind w:left="18985" w:hanging="360"/>
      </w:pPr>
      <w:rPr>
        <w:rFonts w:ascii="Wingdings" w:hAnsi="Wingdings" w:hint="default"/>
      </w:rPr>
    </w:lvl>
    <w:lvl w:ilvl="6" w:tplc="04070001" w:tentative="1">
      <w:start w:val="1"/>
      <w:numFmt w:val="bullet"/>
      <w:lvlText w:val=""/>
      <w:lvlJc w:val="left"/>
      <w:pPr>
        <w:ind w:left="19705" w:hanging="360"/>
      </w:pPr>
      <w:rPr>
        <w:rFonts w:ascii="Symbol" w:hAnsi="Symbol" w:hint="default"/>
      </w:rPr>
    </w:lvl>
    <w:lvl w:ilvl="7" w:tplc="04070003" w:tentative="1">
      <w:start w:val="1"/>
      <w:numFmt w:val="bullet"/>
      <w:lvlText w:val="o"/>
      <w:lvlJc w:val="left"/>
      <w:pPr>
        <w:ind w:left="20425" w:hanging="360"/>
      </w:pPr>
      <w:rPr>
        <w:rFonts w:ascii="Courier New" w:hAnsi="Courier New" w:cs="Courier New" w:hint="default"/>
      </w:rPr>
    </w:lvl>
    <w:lvl w:ilvl="8" w:tplc="04070005" w:tentative="1">
      <w:start w:val="1"/>
      <w:numFmt w:val="bullet"/>
      <w:lvlText w:val=""/>
      <w:lvlJc w:val="left"/>
      <w:pPr>
        <w:ind w:left="21145" w:hanging="360"/>
      </w:pPr>
      <w:rPr>
        <w:rFonts w:ascii="Wingdings" w:hAnsi="Wingdings" w:hint="default"/>
      </w:rPr>
    </w:lvl>
  </w:abstractNum>
  <w:abstractNum w:abstractNumId="6" w15:restartNumberingAfterBreak="0">
    <w:nsid w:val="48773088"/>
    <w:multiLevelType w:val="singleLevel"/>
    <w:tmpl w:val="23E8FA04"/>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CC33DE9"/>
    <w:multiLevelType w:val="singleLevel"/>
    <w:tmpl w:val="C082BE52"/>
    <w:lvl w:ilvl="0">
      <w:numFmt w:val="bullet"/>
      <w:lvlText w:val="-"/>
      <w:lvlJc w:val="left"/>
      <w:pPr>
        <w:tabs>
          <w:tab w:val="num" w:pos="360"/>
        </w:tabs>
        <w:ind w:left="360" w:hanging="360"/>
      </w:pPr>
      <w:rPr>
        <w:rFonts w:hint="default"/>
      </w:rPr>
    </w:lvl>
  </w:abstractNum>
  <w:num w:numId="1">
    <w:abstractNumId w:val="6"/>
  </w:num>
  <w:num w:numId="2">
    <w:abstractNumId w:val="1"/>
  </w:num>
  <w:num w:numId="3">
    <w:abstractNumId w:val="4"/>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15"/>
    <w:rsid w:val="000A7B15"/>
    <w:rsid w:val="000C2D00"/>
    <w:rsid w:val="000D1EB3"/>
    <w:rsid w:val="00194D4A"/>
    <w:rsid w:val="00233C94"/>
    <w:rsid w:val="002D0A74"/>
    <w:rsid w:val="00326DFA"/>
    <w:rsid w:val="003B4B3A"/>
    <w:rsid w:val="00436657"/>
    <w:rsid w:val="004839CB"/>
    <w:rsid w:val="004A32DC"/>
    <w:rsid w:val="00671CB1"/>
    <w:rsid w:val="0069202E"/>
    <w:rsid w:val="0070141D"/>
    <w:rsid w:val="007578E8"/>
    <w:rsid w:val="00781F26"/>
    <w:rsid w:val="00896A61"/>
    <w:rsid w:val="0094747C"/>
    <w:rsid w:val="009544F3"/>
    <w:rsid w:val="009D2C87"/>
    <w:rsid w:val="00B53416"/>
    <w:rsid w:val="00B67950"/>
    <w:rsid w:val="00B97AA8"/>
    <w:rsid w:val="00D079E7"/>
    <w:rsid w:val="00D24D60"/>
    <w:rsid w:val="00D3586E"/>
    <w:rsid w:val="00E17AC6"/>
    <w:rsid w:val="00E23C9A"/>
    <w:rsid w:val="00E72985"/>
    <w:rsid w:val="00FA6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D1A93B1"/>
  <w15:docId w15:val="{2E835E26-EB8C-4BBF-86AC-16558A6A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B15"/>
    <w:pPr>
      <w:spacing w:after="0"/>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A7B15"/>
    <w:pPr>
      <w:tabs>
        <w:tab w:val="center" w:pos="4536"/>
        <w:tab w:val="right" w:pos="9072"/>
      </w:tabs>
    </w:pPr>
  </w:style>
  <w:style w:type="character" w:customStyle="1" w:styleId="FuzeileZchn">
    <w:name w:val="Fußzeile Zchn"/>
    <w:basedOn w:val="Absatz-Standardschriftart"/>
    <w:link w:val="Fuzeile"/>
    <w:rsid w:val="000A7B15"/>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0A7B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B1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2D0A74"/>
    <w:pPr>
      <w:tabs>
        <w:tab w:val="center" w:pos="4536"/>
        <w:tab w:val="right" w:pos="9072"/>
      </w:tabs>
    </w:pPr>
  </w:style>
  <w:style w:type="character" w:customStyle="1" w:styleId="KopfzeileZchn">
    <w:name w:val="Kopfzeile Zchn"/>
    <w:basedOn w:val="Absatz-Standardschriftart"/>
    <w:link w:val="Kopfzeile"/>
    <w:uiPriority w:val="99"/>
    <w:rsid w:val="002D0A74"/>
    <w:rPr>
      <w:rFonts w:eastAsia="Times New Roman" w:cs="Times New Roman"/>
      <w:sz w:val="24"/>
      <w:szCs w:val="20"/>
      <w:lang w:eastAsia="de-DE"/>
    </w:rPr>
  </w:style>
  <w:style w:type="paragraph" w:styleId="Listenabsatz">
    <w:name w:val="List Paragraph"/>
    <w:basedOn w:val="Standard"/>
    <w:uiPriority w:val="34"/>
    <w:qFormat/>
    <w:rsid w:val="00D079E7"/>
    <w:pPr>
      <w:ind w:left="720"/>
      <w:contextualSpacing/>
    </w:pPr>
  </w:style>
  <w:style w:type="paragraph" w:customStyle="1" w:styleId="FormatvorlageRegeln">
    <w:name w:val="Formatvorlage_Regeln"/>
    <w:basedOn w:val="Standard"/>
    <w:rsid w:val="00436657"/>
    <w:pPr>
      <w:numPr>
        <w:numId w:val="8"/>
      </w:numPr>
      <w:tabs>
        <w:tab w:val="clear"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BAD GmbH</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prgadmin</dc:creator>
  <cp:lastModifiedBy>Angeli, Chiara - 21640 Personalentwicklung und Gesundheit</cp:lastModifiedBy>
  <cp:revision>2</cp:revision>
  <dcterms:created xsi:type="dcterms:W3CDTF">2020-11-23T13:35:00Z</dcterms:created>
  <dcterms:modified xsi:type="dcterms:W3CDTF">2020-11-23T13:35:00Z</dcterms:modified>
</cp:coreProperties>
</file>